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43" w:line="360" w:lineRule="auto"/>
        <w:ind w:right="748"/>
        <w:jc w:val="center"/>
        <w:rPr>
          <w:rFonts w:ascii="宋体" w:hAnsi="宋体" w:eastAsia="宋体" w:cs="宋体"/>
          <w:color w:val="auto"/>
          <w:spacing w:val="7"/>
          <w:sz w:val="28"/>
          <w:szCs w:val="28"/>
          <w:highlight w:val="none"/>
        </w:rPr>
      </w:pPr>
    </w:p>
    <w:p>
      <w:pPr>
        <w:spacing w:before="143" w:line="360" w:lineRule="auto"/>
        <w:ind w:right="748"/>
        <w:jc w:val="center"/>
        <w:rPr>
          <w:rFonts w:hint="eastAsia" w:ascii="宋体" w:hAnsi="宋体" w:eastAsia="宋体" w:cs="宋体"/>
          <w:color w:val="auto"/>
          <w:sz w:val="30"/>
          <w:szCs w:val="30"/>
          <w:highlight w:val="none"/>
          <w:lang w:eastAsia="zh-CN"/>
        </w:rPr>
      </w:pPr>
      <w:r>
        <w:rPr>
          <w:rFonts w:hint="eastAsia" w:ascii="宋体" w:hAnsi="宋体" w:eastAsia="宋体" w:cs="宋体"/>
          <w:color w:val="auto"/>
          <w:spacing w:val="7"/>
          <w:sz w:val="30"/>
          <w:szCs w:val="30"/>
          <w:highlight w:val="none"/>
          <w:lang w:val="en-US" w:eastAsia="zh-CN"/>
        </w:rPr>
        <w:t xml:space="preserve"> </w:t>
      </w:r>
      <w:r>
        <w:rPr>
          <w:rFonts w:hint="eastAsia" w:ascii="宋体" w:hAnsi="宋体" w:eastAsia="宋体" w:cs="宋体"/>
          <w:b/>
          <w:bCs/>
          <w:color w:val="auto"/>
          <w:spacing w:val="7"/>
          <w:sz w:val="30"/>
          <w:szCs w:val="30"/>
          <w:highlight w:val="none"/>
        </w:rPr>
        <w:t>武汉工程科技</w:t>
      </w:r>
      <w:r>
        <w:rPr>
          <w:rFonts w:ascii="宋体" w:hAnsi="宋体" w:eastAsia="宋体" w:cs="宋体"/>
          <w:b/>
          <w:bCs/>
          <w:color w:val="auto"/>
          <w:spacing w:val="7"/>
          <w:sz w:val="30"/>
          <w:szCs w:val="30"/>
          <w:highlight w:val="none"/>
        </w:rPr>
        <w:t>学院教师专业技术职务</w:t>
      </w:r>
      <w:r>
        <w:rPr>
          <w:rFonts w:ascii="宋体" w:hAnsi="宋体" w:eastAsia="宋体" w:cs="宋体"/>
          <w:b/>
          <w:bCs/>
          <w:color w:val="auto"/>
          <w:spacing w:val="-2"/>
          <w:sz w:val="30"/>
          <w:szCs w:val="30"/>
          <w:highlight w:val="none"/>
        </w:rPr>
        <w:t>任职资格申报评审条件</w:t>
      </w:r>
      <w:r>
        <w:rPr>
          <w:rFonts w:hint="eastAsia" w:ascii="宋体" w:hAnsi="宋体" w:eastAsia="宋体" w:cs="宋体"/>
          <w:b/>
          <w:bCs/>
          <w:color w:val="auto"/>
          <w:spacing w:val="-2"/>
          <w:sz w:val="30"/>
          <w:szCs w:val="30"/>
          <w:highlight w:val="none"/>
          <w:lang w:eastAsia="zh-CN"/>
        </w:rPr>
        <w:t>（</w:t>
      </w:r>
      <w:r>
        <w:rPr>
          <w:rFonts w:hint="eastAsia" w:ascii="宋体" w:hAnsi="宋体" w:eastAsia="宋体" w:cs="宋体"/>
          <w:b/>
          <w:bCs/>
          <w:color w:val="auto"/>
          <w:spacing w:val="-2"/>
          <w:sz w:val="30"/>
          <w:szCs w:val="30"/>
          <w:highlight w:val="none"/>
          <w:lang w:val="en-US" w:eastAsia="zh-CN"/>
        </w:rPr>
        <w:t>修订试行</w:t>
      </w:r>
      <w:r>
        <w:rPr>
          <w:rFonts w:hint="eastAsia" w:ascii="宋体" w:hAnsi="宋体" w:eastAsia="宋体" w:cs="宋体"/>
          <w:b/>
          <w:bCs/>
          <w:color w:val="auto"/>
          <w:spacing w:val="-2"/>
          <w:sz w:val="30"/>
          <w:szCs w:val="30"/>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before="129" w:line="360" w:lineRule="auto"/>
        <w:ind w:firstLine="3464"/>
        <w:jc w:val="both"/>
        <w:textAlignment w:val="baseline"/>
        <w:rPr>
          <w:rFonts w:ascii="黑体" w:hAnsi="黑体" w:eastAsia="黑体" w:cs="黑体"/>
          <w:color w:val="auto"/>
          <w:spacing w:val="36"/>
          <w:w w:val="105"/>
          <w:sz w:val="28"/>
          <w:szCs w:val="28"/>
          <w:highlight w:val="none"/>
        </w:rPr>
      </w:pPr>
      <w:r>
        <w:rPr>
          <w:rFonts w:ascii="黑体" w:hAnsi="黑体" w:eastAsia="黑体" w:cs="黑体"/>
          <w:color w:val="auto"/>
          <w:spacing w:val="36"/>
          <w:w w:val="105"/>
          <w:sz w:val="28"/>
          <w:szCs w:val="28"/>
          <w:highlight w:val="none"/>
        </w:rPr>
        <w:t>第一章</w:t>
      </w:r>
      <w:r>
        <w:rPr>
          <w:rFonts w:hint="eastAsia" w:ascii="黑体" w:hAnsi="黑体" w:eastAsia="黑体" w:cs="黑体"/>
          <w:color w:val="auto"/>
          <w:spacing w:val="36"/>
          <w:w w:val="105"/>
          <w:sz w:val="28"/>
          <w:szCs w:val="28"/>
          <w:highlight w:val="none"/>
          <w:lang w:val="en-US" w:eastAsia="zh-CN"/>
        </w:rPr>
        <w:t xml:space="preserve"> </w:t>
      </w:r>
      <w:r>
        <w:rPr>
          <w:rFonts w:ascii="黑体" w:hAnsi="黑体" w:eastAsia="黑体" w:cs="黑体"/>
          <w:color w:val="auto"/>
          <w:spacing w:val="36"/>
          <w:w w:val="105"/>
          <w:sz w:val="28"/>
          <w:szCs w:val="28"/>
          <w:highlight w:val="none"/>
        </w:rPr>
        <w:t>总则</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第一条</w:t>
      </w:r>
      <w:r>
        <w:rPr>
          <w:rFonts w:hint="eastAsia" w:ascii="宋体" w:hAnsi="宋体" w:eastAsia="宋体" w:cs="宋体"/>
          <w:color w:val="auto"/>
          <w:spacing w:val="-10"/>
          <w:sz w:val="28"/>
          <w:szCs w:val="28"/>
          <w:highlight w:val="none"/>
          <w:lang w:val="en-US" w:eastAsia="zh-CN"/>
        </w:rPr>
        <w:t xml:space="preserve"> </w:t>
      </w:r>
      <w:r>
        <w:rPr>
          <w:rFonts w:hint="eastAsia" w:ascii="宋体" w:hAnsi="宋体" w:eastAsia="宋体" w:cs="宋体"/>
          <w:color w:val="auto"/>
          <w:spacing w:val="-10"/>
          <w:sz w:val="28"/>
          <w:szCs w:val="28"/>
          <w:highlight w:val="none"/>
        </w:rPr>
        <w:t>为了适应中国特色社会主义建设事业发展的新要求，客观公正科学地评价教师专业技术人员的能力和水平，加快建设适应素质教育和创新人才培养的教师队伍，推动我校事业又好又快发展，在原有条件实践多年的基础上，根据人社部发（2020）100号和鄂人社发（2021）18号等有关文件规定，结合我校实际，现修订制定本办法。</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第二条</w:t>
      </w:r>
      <w:r>
        <w:rPr>
          <w:rFonts w:hint="eastAsia" w:ascii="宋体" w:hAnsi="宋体" w:eastAsia="宋体" w:cs="宋体"/>
          <w:color w:val="auto"/>
          <w:spacing w:val="-10"/>
          <w:sz w:val="28"/>
          <w:szCs w:val="28"/>
          <w:highlight w:val="none"/>
          <w:lang w:val="en-US" w:eastAsia="zh-CN"/>
        </w:rPr>
        <w:t xml:space="preserve"> </w:t>
      </w:r>
      <w:r>
        <w:rPr>
          <w:rFonts w:hint="eastAsia" w:ascii="宋体" w:hAnsi="宋体" w:eastAsia="宋体" w:cs="宋体"/>
          <w:color w:val="auto"/>
          <w:spacing w:val="-10"/>
          <w:sz w:val="28"/>
          <w:szCs w:val="28"/>
          <w:highlight w:val="none"/>
        </w:rPr>
        <w:t>教师专业技术职务任职资格分为高级、中级、初级三级。高级职务为教授、副教授;中级职务为讲师;初级职务为助教。</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第三条</w:t>
      </w:r>
      <w:r>
        <w:rPr>
          <w:rFonts w:hint="eastAsia" w:ascii="宋体" w:hAnsi="宋体" w:eastAsia="宋体" w:cs="宋体"/>
          <w:color w:val="auto"/>
          <w:spacing w:val="-10"/>
          <w:sz w:val="28"/>
          <w:szCs w:val="28"/>
          <w:highlight w:val="none"/>
          <w:lang w:val="en-US" w:eastAsia="zh-CN"/>
        </w:rPr>
        <w:t xml:space="preserve"> </w:t>
      </w:r>
      <w:r>
        <w:rPr>
          <w:rFonts w:hint="eastAsia" w:ascii="宋体" w:hAnsi="宋体" w:eastAsia="宋体" w:cs="宋体"/>
          <w:color w:val="auto"/>
          <w:spacing w:val="-10"/>
          <w:sz w:val="28"/>
          <w:szCs w:val="28"/>
          <w:highlight w:val="none"/>
        </w:rPr>
        <w:t>学校根据教师工作的实际情况，将教师职务中的高级职务分为教学为主型、教学科研并重型、科研为主型、社会服务与推广型4种类型。</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第四条</w:t>
      </w:r>
      <w:r>
        <w:rPr>
          <w:rFonts w:hint="eastAsia" w:ascii="宋体" w:hAnsi="宋体" w:eastAsia="宋体" w:cs="宋体"/>
          <w:color w:val="auto"/>
          <w:spacing w:val="-10"/>
          <w:sz w:val="28"/>
          <w:szCs w:val="28"/>
          <w:highlight w:val="none"/>
          <w:lang w:val="en-US" w:eastAsia="zh-CN"/>
        </w:rPr>
        <w:t xml:space="preserve"> </w:t>
      </w:r>
      <w:r>
        <w:rPr>
          <w:rFonts w:hint="eastAsia" w:ascii="宋体" w:hAnsi="宋体" w:eastAsia="宋体" w:cs="宋体"/>
          <w:color w:val="auto"/>
          <w:spacing w:val="-10"/>
          <w:sz w:val="28"/>
          <w:szCs w:val="28"/>
          <w:highlight w:val="none"/>
        </w:rPr>
        <w:t>本条例适用于在我校从事教育教学工作的在岗在职教师。</w:t>
      </w:r>
    </w:p>
    <w:p>
      <w:pPr>
        <w:keepNext w:val="0"/>
        <w:keepLines w:val="0"/>
        <w:pageBreakBefore w:val="0"/>
        <w:widowControl/>
        <w:kinsoku w:val="0"/>
        <w:wordWrap/>
        <w:overflowPunct/>
        <w:topLinePunct w:val="0"/>
        <w:autoSpaceDE w:val="0"/>
        <w:autoSpaceDN w:val="0"/>
        <w:bidi w:val="0"/>
        <w:adjustRightInd w:val="0"/>
        <w:snapToGrid w:val="0"/>
        <w:spacing w:before="129" w:line="360" w:lineRule="auto"/>
        <w:ind w:firstLine="3464"/>
        <w:textAlignment w:val="baseline"/>
        <w:rPr>
          <w:rFonts w:ascii="宋体" w:hAnsi="宋体" w:eastAsia="宋体" w:cs="宋体"/>
          <w:color w:val="auto"/>
          <w:sz w:val="28"/>
          <w:szCs w:val="28"/>
          <w:highlight w:val="none"/>
        </w:rPr>
      </w:pPr>
      <w:r>
        <w:rPr>
          <w:rFonts w:hint="eastAsia" w:ascii="黑体" w:hAnsi="黑体" w:eastAsia="黑体" w:cs="黑体"/>
          <w:color w:val="auto"/>
          <w:spacing w:val="36"/>
          <w:w w:val="105"/>
          <w:sz w:val="28"/>
          <w:szCs w:val="28"/>
          <w:highlight w:val="none"/>
        </w:rPr>
        <w:t>第二章</w:t>
      </w:r>
      <w:r>
        <w:rPr>
          <w:rFonts w:hint="eastAsia" w:ascii="黑体" w:hAnsi="黑体" w:eastAsia="黑体" w:cs="黑体"/>
          <w:color w:val="auto"/>
          <w:spacing w:val="36"/>
          <w:w w:val="105"/>
          <w:sz w:val="28"/>
          <w:szCs w:val="28"/>
          <w:highlight w:val="none"/>
          <w:lang w:val="en-US" w:eastAsia="zh-CN"/>
        </w:rPr>
        <w:t xml:space="preserve"> </w:t>
      </w:r>
      <w:r>
        <w:rPr>
          <w:rFonts w:hint="eastAsia" w:ascii="黑体" w:hAnsi="黑体" w:eastAsia="黑体" w:cs="黑体"/>
          <w:color w:val="auto"/>
          <w:spacing w:val="36"/>
          <w:w w:val="105"/>
          <w:sz w:val="28"/>
          <w:szCs w:val="28"/>
          <w:highlight w:val="none"/>
        </w:rPr>
        <w:t>分则</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第五条 基本条件</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（一）综合素质条件</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1.拥护中国共产党的领导，热爱社会主义祖国，坚持党的基本路线，努力学习马列主义、毛泽东思想、邓小平理论、“三个代表” 重要思想、科学发展观和习近平新时代中国特色社会主义思想。热爱教育事业，积极为社会主义建设事业服务。</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2.遵守中华人民共和国宪法和法律，遵守《新时代高校教师十项准则》，具有良好的职业道德和敬业精神</w:t>
      </w:r>
      <w:r>
        <w:rPr>
          <w:rFonts w:hint="eastAsia" w:ascii="宋体" w:hAnsi="宋体" w:eastAsia="宋体" w:cs="宋体"/>
          <w:color w:val="auto"/>
          <w:spacing w:val="-10"/>
          <w:sz w:val="28"/>
          <w:szCs w:val="28"/>
          <w:highlight w:val="none"/>
          <w:lang w:eastAsia="zh-CN"/>
        </w:rPr>
        <w:t>。</w:t>
      </w:r>
      <w:r>
        <w:rPr>
          <w:rFonts w:hint="eastAsia" w:ascii="宋体" w:hAnsi="宋体" w:eastAsia="宋体" w:cs="宋体"/>
          <w:color w:val="auto"/>
          <w:spacing w:val="-10"/>
          <w:sz w:val="28"/>
          <w:szCs w:val="28"/>
          <w:highlight w:val="none"/>
        </w:rPr>
        <w:t>以高尚的道德情操和积极向上的精神风貌引领、培育学生，治学严谨，学风端正，教书育人，无违反教师职业道德规范、学术道德规范的行为。</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 xml:space="preserve"> </w:t>
      </w:r>
      <w:r>
        <w:rPr>
          <w:rFonts w:hint="eastAsia" w:ascii="宋体" w:hAnsi="宋体" w:eastAsia="宋体" w:cs="宋体"/>
          <w:color w:val="auto"/>
          <w:spacing w:val="-10"/>
          <w:sz w:val="28"/>
          <w:szCs w:val="28"/>
          <w:highlight w:val="none"/>
          <w:lang w:val="en-US" w:eastAsia="zh-CN"/>
        </w:rPr>
        <w:t>3</w:t>
      </w:r>
      <w:r>
        <w:rPr>
          <w:rFonts w:hint="eastAsia" w:ascii="宋体" w:hAnsi="宋体" w:eastAsia="宋体" w:cs="宋体"/>
          <w:color w:val="auto"/>
          <w:spacing w:val="-10"/>
          <w:sz w:val="28"/>
          <w:szCs w:val="28"/>
          <w:highlight w:val="none"/>
        </w:rPr>
        <w:t>.具备良好的团队精神、开拓创新精神和奉献精神，具有较强的教学科研组织管理能力。能全身心投入教学、科研等工作，思政教师能全心投入学生思想政治教育与管理等工作，愿意履行岗位职责并具备与履行岗位职责相适应的综合素质。</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lang w:val="en-US" w:eastAsia="zh-CN"/>
        </w:rPr>
        <w:t>4</w:t>
      </w:r>
      <w:r>
        <w:rPr>
          <w:rFonts w:hint="eastAsia" w:ascii="宋体" w:hAnsi="宋体" w:eastAsia="宋体" w:cs="宋体"/>
          <w:color w:val="auto"/>
          <w:spacing w:val="-10"/>
          <w:sz w:val="28"/>
          <w:szCs w:val="28"/>
          <w:highlight w:val="none"/>
        </w:rPr>
        <w:t>.人事档案应转入学校，申报中、高级专业技术职务人员需在我校从事专业技术工作满1年。特殊人才不受此条限制。</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lang w:val="en-US" w:eastAsia="zh-CN"/>
        </w:rPr>
        <w:t>5</w:t>
      </w:r>
      <w:r>
        <w:rPr>
          <w:rFonts w:hint="eastAsia" w:ascii="宋体" w:hAnsi="宋体" w:eastAsia="宋体" w:cs="宋体"/>
          <w:color w:val="auto"/>
          <w:spacing w:val="-10"/>
          <w:sz w:val="28"/>
          <w:szCs w:val="28"/>
          <w:highlight w:val="none"/>
        </w:rPr>
        <w:t xml:space="preserve">.申报评审高校教师系列专业技术职务需具有高校教师资格证。 </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lang w:val="en-US" w:eastAsia="zh-CN"/>
        </w:rPr>
        <w:t>6</w:t>
      </w:r>
      <w:r>
        <w:rPr>
          <w:rFonts w:hint="eastAsia" w:ascii="宋体" w:hAnsi="宋体" w:eastAsia="宋体" w:cs="宋体"/>
          <w:color w:val="auto"/>
          <w:spacing w:val="-10"/>
          <w:sz w:val="28"/>
          <w:szCs w:val="28"/>
          <w:highlight w:val="none"/>
        </w:rPr>
        <w:t>.身心健康,心理素质良好,能全面履行岗位职责。</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lang w:val="en-US" w:eastAsia="zh-CN"/>
        </w:rPr>
        <w:t>7</w:t>
      </w:r>
      <w:r>
        <w:rPr>
          <w:rFonts w:hint="eastAsia" w:ascii="宋体" w:hAnsi="宋体" w:eastAsia="宋体" w:cs="宋体"/>
          <w:color w:val="auto"/>
          <w:spacing w:val="-10"/>
          <w:sz w:val="28"/>
          <w:szCs w:val="28"/>
          <w:highlight w:val="none"/>
        </w:rPr>
        <w:t>.继续教育要求：累计参加企业挂职实践半年及以上且考核合格；或晋升中级职称的教师近2年、晋升高级职称的教师近5年，每年完成不少于30学时的校内外培训课程。</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lang w:val="en-US" w:eastAsia="zh-CN"/>
        </w:rPr>
        <w:t>8</w:t>
      </w:r>
      <w:r>
        <w:rPr>
          <w:rFonts w:hint="eastAsia" w:ascii="宋体" w:hAnsi="宋体" w:eastAsia="宋体" w:cs="宋体"/>
          <w:color w:val="auto"/>
          <w:spacing w:val="-10"/>
          <w:sz w:val="28"/>
          <w:szCs w:val="28"/>
          <w:highlight w:val="none"/>
        </w:rPr>
        <w:t>.晋升高一级职称的青年教师，须有至少一年担任辅导员、班主任等学生工作经历，或担任学校三星级及以上社团指导老师，成功举办活动1次以上，活动有品质，学生能力有提升，或支教、乡村振兴、参加孔子学院及国际组织援外交流等工作经历，并考核合格。</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 xml:space="preserve">（二）水平能力测试条件 </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以教师课堂教学质量综合排名成绩作为评价教师水平能力的依据，近2学年内（自当年下发评审通知之日起），排名在本单位后10%者不得申报。</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第六条</w:t>
      </w:r>
      <w:r>
        <w:rPr>
          <w:rFonts w:hint="eastAsia" w:ascii="宋体" w:hAnsi="宋体" w:eastAsia="宋体" w:cs="宋体"/>
          <w:color w:val="auto"/>
          <w:spacing w:val="-10"/>
          <w:sz w:val="28"/>
          <w:szCs w:val="28"/>
          <w:highlight w:val="none"/>
          <w:lang w:val="en-US" w:eastAsia="zh-CN"/>
        </w:rPr>
        <w:t xml:space="preserve"> </w:t>
      </w:r>
      <w:r>
        <w:rPr>
          <w:rFonts w:hint="eastAsia" w:ascii="宋体" w:hAnsi="宋体" w:eastAsia="宋体" w:cs="宋体"/>
          <w:color w:val="auto"/>
          <w:spacing w:val="-10"/>
          <w:sz w:val="28"/>
          <w:szCs w:val="28"/>
          <w:highlight w:val="none"/>
        </w:rPr>
        <w:t>学历、资历条件</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（一）教授</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具备大学本科及以上学历或学士及以上学位,且担任副教授职务满5年。</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（二）副教授</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具备大学本科及以上学历或学士及以上学位,且担任讲师职务满5年;或具备博士学位,且担任讲师职务满2年。</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（三）讲师</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具备博士学位;或具备硕士学位,并担任助教职务满2年;或具备大学本科学历或学士学位,并担任助教职务满4年。</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(四）助教</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具备硕士学位;或具备大学本科学历或学士学位,见习1年期满且考核合格。</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第七条</w:t>
      </w:r>
      <w:r>
        <w:rPr>
          <w:rFonts w:hint="eastAsia" w:ascii="宋体" w:hAnsi="宋体" w:eastAsia="宋体" w:cs="宋体"/>
          <w:color w:val="auto"/>
          <w:spacing w:val="-10"/>
          <w:sz w:val="28"/>
          <w:szCs w:val="28"/>
          <w:highlight w:val="none"/>
          <w:lang w:val="en-US" w:eastAsia="zh-CN"/>
        </w:rPr>
        <w:t xml:space="preserve"> </w:t>
      </w:r>
      <w:r>
        <w:rPr>
          <w:rFonts w:hint="eastAsia" w:ascii="宋体" w:hAnsi="宋体" w:eastAsia="宋体" w:cs="宋体"/>
          <w:color w:val="auto"/>
          <w:spacing w:val="-10"/>
          <w:sz w:val="28"/>
          <w:szCs w:val="28"/>
          <w:highlight w:val="none"/>
        </w:rPr>
        <w:t>能力业绩条件（见附件）</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能力业绩要求应为任现职以来取得的成果,具体见附件。</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第八条 评审</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评审是对专业技术人员能力水平进行科学评价的重要环节，评委会主要依据申报者提供的申报材料进行综合评价。总的要求是：坚持标准条件，注重能力业绩，鼓励突破创新，适当引导倾斜，力求客观公正，确保评价质量。具体从专业理论水平，专业实践运用，科研、师导、创新等方面进行评审：</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一、专业理论水平</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一）申报教授职务任职资格者，必须具有系统的专业理论知识和坚实的理论功底，是本学科的学术带头人，对本学科建设有较大贡献，及时了解和掌握本学科国内外发展的前沿动态，对某一领域有深入的研究，发表、出版过具有创见性的科学论文、著作或教科书，或有重大的创造发明，在省内同行中有较高的知名度。</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二）申报副教授职务任职资格者，必须具有系统而坚实的理论基础和较高的专业知识水平，能及时掌握本学科发展的前沿状况，发表过一定水平的科学论文或出版过有价值的著作、教科书，或在教学研究方面有较高的造诣，或在实际及其他科学技术工作方面有较大的贡献。</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（三）申报讲师职务任职资格者，必须对本学科的基础理论有较为系统的了解和掌握，能独立进行教学科研和专业理论研究工作，发表过一定水平的论文，取得过一定价值的成果。</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（四）申报助教职务任职资格者，必须基本掌握本学科的基础理论和专业知识，能参与本专业相关的教研活动。</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二、专业实践运用</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（一）申报教授职务任职资格者，必须具有很强的工作能力和丰富的教学工作经验，教学成绩突出。能承担有一定理论深度的大型专题课，教法创新，教学效果好，有较强的教学科研管理和组织领导能力。</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（二）申报副教授职务任职资格者，必须具有较强的工作能力和较丰富的教学工作经验，能组织和指导本学科各教学环节的教学活动，教学成绩明显，教学质量良好。</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（三）申报讲师职务任职资格者，必须具有独立承担本学科教学工作的能力，能完成教学工作量，承担的教学任务，教学效果良好。</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（四）申报助教职务任职资格者，必须熟悉和了解本学科教学工作各环节的要求，较好地完成所担负的教学辅助工作任务。</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三、科研、师导、创新</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评审活动中，要重视对申报者特别是高、中级职务任职资格申报者科研能力、师导能力、创新能力的评价。</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科研是专业技术工作发展的基础。高校高、中级职务的申报者，必须具有科研能力，要能进行专业理论的研究和学术交流活动，在分析总结的基础上，取得具有较高水平和价值的成果。</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师导是专业技术工作发展的桥梁。高校高、中级职务的申报者必须具有专业理论知识和专业工作经验的传授、指导能力，承担培养和指导专业人才的责任，不断提高高校教师队伍的能力和水平。</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创新是专业技术工作发展的动力。重视申报者的创新能力，就是要鼓励高校教师在专业理论研究、专业技术工作中有所创造，在创新中不断推进高校教育、科研及专业技术推广应用服务工作中取得新突破、新成果、新发展。</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四、注意导向、适当倾斜</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评审工作要从高校教师队伍建设的大局出发，鼓励引导高校教师在边远地区、基层和一线工作岗位上，为教育事业的发展多做贡献。思想政治理论课教师单独分组评审，高级岗位比例不低于学校平均水平。</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第九条</w:t>
      </w:r>
      <w:r>
        <w:rPr>
          <w:rFonts w:hint="eastAsia" w:ascii="宋体" w:hAnsi="宋体" w:eastAsia="宋体" w:cs="宋体"/>
          <w:color w:val="auto"/>
          <w:spacing w:val="-10"/>
          <w:sz w:val="28"/>
          <w:szCs w:val="28"/>
          <w:highlight w:val="none"/>
          <w:lang w:val="en-US" w:eastAsia="zh-CN"/>
        </w:rPr>
        <w:t xml:space="preserve"> </w:t>
      </w:r>
      <w:r>
        <w:rPr>
          <w:rFonts w:hint="eastAsia" w:ascii="宋体" w:hAnsi="宋体" w:eastAsia="宋体" w:cs="宋体"/>
          <w:color w:val="auto"/>
          <w:spacing w:val="-10"/>
          <w:sz w:val="28"/>
          <w:szCs w:val="28"/>
          <w:highlight w:val="none"/>
        </w:rPr>
        <w:t>特殊评审</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（一）破格评审</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不具备规定的学历</w:t>
      </w:r>
      <w:r>
        <w:rPr>
          <w:rFonts w:hint="eastAsia" w:ascii="宋体" w:hAnsi="宋体" w:eastAsia="宋体" w:cs="宋体"/>
          <w:color w:val="auto"/>
          <w:spacing w:val="-10"/>
          <w:sz w:val="28"/>
          <w:szCs w:val="28"/>
          <w:highlight w:val="none"/>
          <w:lang w:eastAsia="zh-CN"/>
        </w:rPr>
        <w:t>、</w:t>
      </w:r>
      <w:r>
        <w:rPr>
          <w:rFonts w:hint="eastAsia" w:ascii="宋体" w:hAnsi="宋体" w:eastAsia="宋体" w:cs="宋体"/>
          <w:color w:val="auto"/>
          <w:spacing w:val="-10"/>
          <w:sz w:val="28"/>
          <w:szCs w:val="28"/>
          <w:highlight w:val="none"/>
        </w:rPr>
        <w:t>资历</w:t>
      </w:r>
      <w:r>
        <w:rPr>
          <w:rFonts w:hint="eastAsia" w:ascii="宋体" w:hAnsi="宋体" w:eastAsia="宋体" w:cs="宋体"/>
          <w:color w:val="auto"/>
          <w:spacing w:val="-10"/>
          <w:sz w:val="28"/>
          <w:szCs w:val="28"/>
          <w:highlight w:val="none"/>
          <w:lang w:eastAsia="zh-CN"/>
        </w:rPr>
        <w:t>、</w:t>
      </w:r>
      <w:r>
        <w:rPr>
          <w:rFonts w:hint="eastAsia" w:ascii="宋体" w:hAnsi="宋体" w:eastAsia="宋体" w:cs="宋体"/>
          <w:color w:val="auto"/>
          <w:spacing w:val="-10"/>
          <w:sz w:val="28"/>
          <w:szCs w:val="28"/>
          <w:highlight w:val="none"/>
          <w:lang w:val="en-US" w:eastAsia="zh-CN"/>
        </w:rPr>
        <w:t>任职年限</w:t>
      </w:r>
      <w:r>
        <w:rPr>
          <w:rFonts w:hint="eastAsia" w:ascii="宋体" w:hAnsi="宋体" w:eastAsia="宋体" w:cs="宋体"/>
          <w:color w:val="auto"/>
          <w:spacing w:val="-10"/>
          <w:sz w:val="28"/>
          <w:szCs w:val="28"/>
          <w:highlight w:val="none"/>
        </w:rPr>
        <w:t>，确有真才实学、突出能力、特殊成果、显著业绩者，可以逐级破格申报相应的高校教师职务任职资格的评审。</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1.教授</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教学为主型暂不实行破格申报。破格申报必须符合下列条件中的2条（其中第（1）条为必须条件）：</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（1）论文、著作条件在相应类型正常申报要求的基础上，另增加2篇在国内核心期刊或国外权威刊物上发表的学术论文，或增加1部公开出版的学术著作。</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（2）主持完成国家级科研项目1项以上。</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（3）获国家级奖励（限前3名）或省（部）级一、二等奖（一等奖限前2名，二等奖限前1名）。</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（4）作为第一指导老师指导学生获得国家级A类赛事一等奖及以上。</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5）作为海外人才引进回国具有国外博士学位，在所研究的领域中有较大突破，取得的成果已被确认达到国际先进水平或国内领先水平（第一完成人，2位同行教授书面鉴定），回国后继续该领域研究，并有较大进展者。</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（6）艺术类教师在国家级专业比赛（展演）中获二等奖以上。</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（7）体育类教师指导学生参加国家级赛事获集体项目前3名或单项比赛冠军。</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（8）理工科类教师主持单项横向课题到账经费</w:t>
      </w:r>
      <w:r>
        <w:rPr>
          <w:rFonts w:hint="eastAsia" w:ascii="宋体" w:hAnsi="宋体" w:eastAsia="宋体" w:cs="宋体"/>
          <w:color w:val="auto"/>
          <w:spacing w:val="-10"/>
          <w:sz w:val="28"/>
          <w:szCs w:val="28"/>
          <w:highlight w:val="none"/>
          <w:lang w:val="en-US" w:eastAsia="zh-CN"/>
        </w:rPr>
        <w:t>100</w:t>
      </w:r>
      <w:r>
        <w:rPr>
          <w:rFonts w:hint="eastAsia" w:ascii="宋体" w:hAnsi="宋体" w:eastAsia="宋体" w:cs="宋体"/>
          <w:color w:val="auto"/>
          <w:spacing w:val="-10"/>
          <w:sz w:val="28"/>
          <w:szCs w:val="28"/>
          <w:highlight w:val="none"/>
        </w:rPr>
        <w:t>万元，或主持横向课题累计到账经费</w:t>
      </w:r>
      <w:r>
        <w:rPr>
          <w:rFonts w:hint="eastAsia" w:ascii="宋体" w:hAnsi="宋体" w:eastAsia="宋体" w:cs="宋体"/>
          <w:color w:val="auto"/>
          <w:spacing w:val="-10"/>
          <w:sz w:val="28"/>
          <w:szCs w:val="28"/>
          <w:highlight w:val="none"/>
          <w:lang w:val="en-US" w:eastAsia="zh-CN"/>
        </w:rPr>
        <w:t>2</w:t>
      </w:r>
      <w:r>
        <w:rPr>
          <w:rFonts w:hint="eastAsia" w:ascii="宋体" w:hAnsi="宋体" w:eastAsia="宋体" w:cs="宋体"/>
          <w:color w:val="auto"/>
          <w:spacing w:val="-10"/>
          <w:sz w:val="28"/>
          <w:szCs w:val="28"/>
          <w:highlight w:val="none"/>
        </w:rPr>
        <w:t>00万元以上；人文社科类教师主持单项横向课题到账经费80万元，或主持横向课题累计到账经费</w:t>
      </w:r>
      <w:r>
        <w:rPr>
          <w:rFonts w:hint="eastAsia" w:ascii="宋体" w:hAnsi="宋体" w:eastAsia="宋体" w:cs="宋体"/>
          <w:color w:val="auto"/>
          <w:spacing w:val="-10"/>
          <w:sz w:val="28"/>
          <w:szCs w:val="28"/>
          <w:highlight w:val="none"/>
          <w:lang w:val="en-US" w:eastAsia="zh-CN"/>
        </w:rPr>
        <w:t>150</w:t>
      </w:r>
      <w:r>
        <w:rPr>
          <w:rFonts w:hint="eastAsia" w:ascii="宋体" w:hAnsi="宋体" w:eastAsia="宋体" w:cs="宋体"/>
          <w:color w:val="auto"/>
          <w:spacing w:val="-10"/>
          <w:sz w:val="28"/>
          <w:szCs w:val="28"/>
          <w:highlight w:val="none"/>
        </w:rPr>
        <w:t>万元以上。</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2.副教授</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教学为主型不实行破格申报。破格申报必须符合下列条件中的2条（其中第（1）条为必须条件）：</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（1）论文、著作条件在相应类型正常申报要求的基础上，另增加2篇在国内核心期刊或国外权威刊物上发表的学术论文，或增加1部公开出版的学术著作。</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（2）主持完成国家级科研项目1项或省（部）级科研项目2项以上。</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（3）获国家级奖励（限前5名）或省（部）级等奖（一等奖限前3名，二等奖限前2名，三等奖限前1名）。</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（4）作为指导老师（限前2名）指导学生获国家级 A 类赛事一等奖及以上。</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（5）具有博士学位，在所从事的该领域中有较大突破，取得的成果已被确认达到国内先进水平（第一完成人，2位同行教授书面鉴定）。</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（6）艺术类教师在国家级专业比赛（展演）中获三等奖以上或在省级专业比赛（展演）中获一等奖以上。</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（7）体育类教师指导学生参加省级赛事获集体项目前3名或单项比赛冠军。</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（8）理工科类教师主持单项横向课题到账经费</w:t>
      </w:r>
      <w:r>
        <w:rPr>
          <w:rFonts w:hint="eastAsia" w:ascii="宋体" w:hAnsi="宋体" w:eastAsia="宋体" w:cs="宋体"/>
          <w:color w:val="auto"/>
          <w:spacing w:val="-10"/>
          <w:sz w:val="28"/>
          <w:szCs w:val="28"/>
          <w:highlight w:val="none"/>
          <w:lang w:val="en-US" w:eastAsia="zh-CN"/>
        </w:rPr>
        <w:t>80</w:t>
      </w:r>
      <w:r>
        <w:rPr>
          <w:rFonts w:hint="eastAsia" w:ascii="宋体" w:hAnsi="宋体" w:eastAsia="宋体" w:cs="宋体"/>
          <w:color w:val="auto"/>
          <w:spacing w:val="-10"/>
          <w:sz w:val="28"/>
          <w:szCs w:val="28"/>
          <w:highlight w:val="none"/>
        </w:rPr>
        <w:t>万元，或主持横向课题累计到账经费</w:t>
      </w:r>
      <w:r>
        <w:rPr>
          <w:rFonts w:hint="eastAsia" w:ascii="宋体" w:hAnsi="宋体" w:eastAsia="宋体" w:cs="宋体"/>
          <w:color w:val="auto"/>
          <w:spacing w:val="-10"/>
          <w:sz w:val="28"/>
          <w:szCs w:val="28"/>
          <w:highlight w:val="none"/>
          <w:lang w:val="en-US" w:eastAsia="zh-CN"/>
        </w:rPr>
        <w:t>150</w:t>
      </w:r>
      <w:r>
        <w:rPr>
          <w:rFonts w:hint="eastAsia" w:ascii="宋体" w:hAnsi="宋体" w:eastAsia="宋体" w:cs="宋体"/>
          <w:color w:val="auto"/>
          <w:spacing w:val="-10"/>
          <w:sz w:val="28"/>
          <w:szCs w:val="28"/>
          <w:highlight w:val="none"/>
        </w:rPr>
        <w:t>万元以上；人文社科类教师主持单项横向课题到账经费</w:t>
      </w:r>
      <w:r>
        <w:rPr>
          <w:rFonts w:hint="eastAsia" w:ascii="宋体" w:hAnsi="宋体" w:eastAsia="宋体" w:cs="宋体"/>
          <w:color w:val="auto"/>
          <w:spacing w:val="-10"/>
          <w:sz w:val="28"/>
          <w:szCs w:val="28"/>
          <w:highlight w:val="none"/>
          <w:lang w:val="en-US" w:eastAsia="zh-CN"/>
        </w:rPr>
        <w:t>60</w:t>
      </w:r>
      <w:r>
        <w:rPr>
          <w:rFonts w:hint="eastAsia" w:ascii="宋体" w:hAnsi="宋体" w:eastAsia="宋体" w:cs="宋体"/>
          <w:color w:val="auto"/>
          <w:spacing w:val="-10"/>
          <w:sz w:val="28"/>
          <w:szCs w:val="28"/>
          <w:highlight w:val="none"/>
        </w:rPr>
        <w:t>万元，或主持横向课题累计到账经费</w:t>
      </w:r>
      <w:r>
        <w:rPr>
          <w:rFonts w:hint="eastAsia" w:ascii="宋体" w:hAnsi="宋体" w:eastAsia="宋体" w:cs="宋体"/>
          <w:color w:val="auto"/>
          <w:spacing w:val="-10"/>
          <w:sz w:val="28"/>
          <w:szCs w:val="28"/>
          <w:highlight w:val="none"/>
          <w:lang w:val="en-US" w:eastAsia="zh-CN"/>
        </w:rPr>
        <w:t>100</w:t>
      </w:r>
      <w:r>
        <w:rPr>
          <w:rFonts w:hint="eastAsia" w:ascii="宋体" w:hAnsi="宋体" w:eastAsia="宋体" w:cs="宋体"/>
          <w:color w:val="auto"/>
          <w:spacing w:val="-10"/>
          <w:sz w:val="28"/>
          <w:szCs w:val="28"/>
          <w:highlight w:val="none"/>
        </w:rPr>
        <w:t>万元以上。</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3.讲师、助教职务任职资格不作破格要求。</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（二）绿色通道评审</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畅通重点人才发展绿色通道。对取得重大基础研究和前沿技术突破、解决重大工程技术难题、在经济社会发展中做出重大贡献的教师以及招聘引进的高层次人才和急需紧缺人才等,可不受岗位职数限制直接申报高级职称, 在申报高级职称时论文可不作限制性要求。</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（三）转评</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专业技术人员因工作单位或岗位变动，在现专业技术岗位工作满 1 年且年度考核合格以上，符合新专业申报条件的，可以申报转评。按照《湖北省职称评审专业目录》，专业技术人员需要申报评审新的职称专业时，应先转评再晋升。</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专业技术人员转评次年可申报晋升高一级职称。转评前后从事的专业技术工作年限、任职年限和聘任年限可累计计算。原职称与现申报职称专业相近或岗位职责相关联的，工作业绩可作为晋升依据。</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专业技术人员同一年度不得申报参加两个及以上职称评审。</w:t>
      </w:r>
    </w:p>
    <w:p>
      <w:pPr>
        <w:keepNext w:val="0"/>
        <w:keepLines w:val="0"/>
        <w:pageBreakBefore w:val="0"/>
        <w:widowControl/>
        <w:kinsoku w:val="0"/>
        <w:wordWrap/>
        <w:overflowPunct/>
        <w:topLinePunct w:val="0"/>
        <w:autoSpaceDE w:val="0"/>
        <w:autoSpaceDN w:val="0"/>
        <w:bidi w:val="0"/>
        <w:adjustRightInd w:val="0"/>
        <w:snapToGrid w:val="0"/>
        <w:spacing w:before="145" w:line="360" w:lineRule="auto"/>
        <w:ind w:firstLine="3484"/>
        <w:textAlignment w:val="baseline"/>
        <w:rPr>
          <w:rFonts w:ascii="宋体" w:hAnsi="宋体" w:eastAsia="宋体" w:cs="宋体"/>
          <w:color w:val="auto"/>
          <w:sz w:val="28"/>
          <w:szCs w:val="28"/>
          <w:highlight w:val="none"/>
        </w:rPr>
      </w:pPr>
      <w:r>
        <w:rPr>
          <w:rFonts w:hint="eastAsia" w:ascii="黑体" w:hAnsi="黑体" w:eastAsia="黑体" w:cs="黑体"/>
          <w:color w:val="auto"/>
          <w:spacing w:val="36"/>
          <w:w w:val="105"/>
          <w:sz w:val="28"/>
          <w:szCs w:val="28"/>
          <w:highlight w:val="none"/>
        </w:rPr>
        <w:t>第三章</w:t>
      </w:r>
      <w:r>
        <w:rPr>
          <w:rFonts w:hint="eastAsia" w:ascii="黑体" w:hAnsi="黑体" w:eastAsia="黑体" w:cs="黑体"/>
          <w:color w:val="auto"/>
          <w:spacing w:val="36"/>
          <w:w w:val="105"/>
          <w:sz w:val="28"/>
          <w:szCs w:val="28"/>
          <w:highlight w:val="none"/>
          <w:lang w:val="en-US" w:eastAsia="zh-CN"/>
        </w:rPr>
        <w:t xml:space="preserve"> </w:t>
      </w:r>
      <w:r>
        <w:rPr>
          <w:rFonts w:hint="eastAsia" w:ascii="黑体" w:hAnsi="黑体" w:eastAsia="黑体" w:cs="黑体"/>
          <w:color w:val="auto"/>
          <w:spacing w:val="36"/>
          <w:w w:val="105"/>
          <w:sz w:val="28"/>
          <w:szCs w:val="28"/>
          <w:highlight w:val="none"/>
        </w:rPr>
        <w:t>附则</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第十条</w:t>
      </w:r>
      <w:r>
        <w:rPr>
          <w:rFonts w:hint="eastAsia" w:ascii="宋体" w:hAnsi="宋体" w:eastAsia="宋体" w:cs="宋体"/>
          <w:color w:val="auto"/>
          <w:spacing w:val="-10"/>
          <w:sz w:val="28"/>
          <w:szCs w:val="28"/>
          <w:highlight w:val="none"/>
          <w:lang w:val="en-US" w:eastAsia="zh-CN"/>
        </w:rPr>
        <w:t xml:space="preserve"> </w:t>
      </w:r>
      <w:r>
        <w:rPr>
          <w:rFonts w:hint="eastAsia" w:ascii="宋体" w:hAnsi="宋体" w:eastAsia="宋体" w:cs="宋体"/>
          <w:color w:val="auto"/>
          <w:spacing w:val="-10"/>
          <w:sz w:val="28"/>
          <w:szCs w:val="28"/>
          <w:highlight w:val="none"/>
        </w:rPr>
        <w:t>经学校批准的“双肩挑”人员年均教学工作量不少于64标时。</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第十一条</w:t>
      </w:r>
      <w:r>
        <w:rPr>
          <w:rFonts w:hint="eastAsia" w:ascii="宋体" w:hAnsi="宋体" w:eastAsia="宋体" w:cs="宋体"/>
          <w:color w:val="auto"/>
          <w:spacing w:val="-10"/>
          <w:sz w:val="28"/>
          <w:szCs w:val="28"/>
          <w:highlight w:val="none"/>
          <w:lang w:val="en-US" w:eastAsia="zh-CN"/>
        </w:rPr>
        <w:t xml:space="preserve"> </w:t>
      </w:r>
      <w:r>
        <w:rPr>
          <w:rFonts w:hint="eastAsia" w:ascii="宋体" w:hAnsi="宋体" w:eastAsia="宋体" w:cs="宋体"/>
          <w:color w:val="auto"/>
          <w:spacing w:val="-10"/>
          <w:sz w:val="28"/>
          <w:szCs w:val="28"/>
          <w:highlight w:val="none"/>
        </w:rPr>
        <w:t>本条件中所要求的任职年限均按足年限计算,起始时间为现任职资格的评审时间;脱产参加学历教育时间,不计入任职时间。入职后取得的本科及以上学历,视同达到规定学历。学历或学位取得前后任职年限可累计。</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第十二条 毕业后一直在非公有制单位工作、尚未认定初级职称且符合中级职称申报评审条件的专业技术人员，可按规定程序直接申报中级职称，在专业能力水平方面重点考察其工作实绩和社会贡献。</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第十三条</w:t>
      </w:r>
      <w:r>
        <w:rPr>
          <w:rFonts w:hint="eastAsia" w:ascii="宋体" w:hAnsi="宋体" w:eastAsia="宋体" w:cs="宋体"/>
          <w:color w:val="auto"/>
          <w:spacing w:val="-10"/>
          <w:sz w:val="28"/>
          <w:szCs w:val="28"/>
          <w:highlight w:val="none"/>
          <w:lang w:val="en-US" w:eastAsia="zh-CN"/>
        </w:rPr>
        <w:t xml:space="preserve"> </w:t>
      </w:r>
      <w:r>
        <w:rPr>
          <w:rFonts w:hint="eastAsia" w:ascii="宋体" w:hAnsi="宋体" w:eastAsia="宋体" w:cs="宋体"/>
          <w:color w:val="auto"/>
          <w:spacing w:val="-10"/>
          <w:sz w:val="28"/>
          <w:szCs w:val="28"/>
          <w:highlight w:val="none"/>
        </w:rPr>
        <w:t>本条件的特定解释:</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1.本条件中所规定的学历: 指国家承认的国民教育序列的学历。取得国(境)外的学历,须提供国家教育主管部门的认证材料。对于国家实施学位制度（1981年）前全日制普通院校大学本科毕业者，在晋升教师职务时可按具有学士学位对待。</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2.本条件中,凡冠有“以上”者,均含本级。</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3.国家级、省级科研项目(课题):指国家、省自然科学、社会科学主管部门下达的科研项目及国家、省教育主管部门下达的教育教学改革项目(课题)含国家级</w:t>
      </w:r>
      <w:r>
        <w:rPr>
          <w:rFonts w:hint="eastAsia" w:ascii="宋体" w:hAnsi="宋体" w:eastAsia="宋体" w:cs="宋体"/>
          <w:color w:val="auto"/>
          <w:spacing w:val="-10"/>
          <w:sz w:val="28"/>
          <w:szCs w:val="28"/>
          <w:highlight w:val="none"/>
          <w:lang w:val="en-US" w:eastAsia="zh-CN"/>
        </w:rPr>
        <w:t>重点</w:t>
      </w:r>
      <w:r>
        <w:rPr>
          <w:rFonts w:hint="eastAsia" w:ascii="宋体" w:hAnsi="宋体" w:eastAsia="宋体" w:cs="宋体"/>
          <w:color w:val="auto"/>
          <w:spacing w:val="-10"/>
          <w:sz w:val="28"/>
          <w:szCs w:val="28"/>
          <w:highlight w:val="none"/>
        </w:rPr>
        <w:t>项目（课题）二级项目（课题）。项目(课题)须附立项报告或鉴定、结项证书。</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4.教学质量工程项目包括国家级、省级、校级一流专业；国家级、省级、校级一流课程；国家级、省级、校级优秀教学团队、优秀基层教学组织；专业综合改革试点；教育部产学合作协同育人项目、就业育人项目等。其中教育部产学合作协同育人项目、就业育人项目两项可视为省级教学质量工程一项。</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5.国家级、省(部)级以上获奖成果的统计仅限于自然科学奖、发明奖、科技进步奖、星火奖、人文社会科学类研究优秀成果奖、优秀教学(教材)成果奖。奖励以正式文件和获奖证书为准。成果的获奖者是指等级额定获奖人员,须附获奖证书。</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6.教学和学科竞赛：教学竞赛指教师本人参加教育部认可的全国青年教师教学比赛、教学创新大赛等教学竞赛；大学生学科竞赛是指教育部认可的大学生学科竞赛，具体项目参见学校每年发布的学科竞赛清单。</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7.体育类“国家级赛事”、“省级赛事”:“国家级赛事”是指全国</w:t>
      </w:r>
      <w:r>
        <w:rPr>
          <w:rFonts w:hint="eastAsia" w:ascii="宋体" w:hAnsi="宋体" w:eastAsia="宋体" w:cs="宋体"/>
          <w:color w:val="auto"/>
          <w:spacing w:val="-8"/>
          <w:sz w:val="28"/>
          <w:szCs w:val="28"/>
          <w:highlight w:val="none"/>
        </w:rPr>
        <w:t>运动会、全国城市运动会、</w:t>
      </w:r>
      <w:r>
        <w:rPr>
          <w:rFonts w:hint="eastAsia" w:ascii="宋体" w:hAnsi="宋体" w:eastAsia="宋体" w:cs="宋体"/>
          <w:color w:val="auto"/>
          <w:spacing w:val="-8"/>
          <w:sz w:val="28"/>
          <w:szCs w:val="28"/>
          <w:highlight w:val="none"/>
          <w:lang w:eastAsia="zh-CN"/>
        </w:rPr>
        <w:t>全国学生（青年）运动会</w:t>
      </w:r>
      <w:r>
        <w:rPr>
          <w:rFonts w:hint="eastAsia" w:ascii="宋体" w:hAnsi="宋体" w:eastAsia="宋体" w:cs="宋体"/>
          <w:color w:val="auto"/>
          <w:spacing w:val="-8"/>
          <w:sz w:val="28"/>
          <w:szCs w:val="28"/>
          <w:highlight w:val="none"/>
        </w:rPr>
        <w:t>以及由国家体育总局、</w:t>
      </w:r>
      <w:r>
        <w:rPr>
          <w:rFonts w:hint="eastAsia" w:ascii="宋体" w:hAnsi="宋体" w:eastAsia="宋体" w:cs="宋体"/>
          <w:color w:val="auto"/>
          <w:spacing w:val="-10"/>
          <w:sz w:val="28"/>
          <w:szCs w:val="28"/>
          <w:highlight w:val="none"/>
        </w:rPr>
        <w:t>教育部举办的全国性单项体育比赛;“省级赛事”是指全省运动会、全省大学生运动会以及由省体育局、教育厅举办的全省性单项体育比赛。</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8.艺术类国家级专业比赛(展演)、省级专业比赛(展演): 是指由国家、省教育、宣传、文化艺术主管部门举办的各类高水平专业比赛、展览;或是由中国文联、省文联下属的一级协会、国家级、省级电视台等单位举办的有较高社会影响的专业比赛、展览。</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9.学术著作、论文的要求:</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学术著作”是指公开出版(有ISBN书号)的本专业或相近专业专著、译著或教材、艺术专业作品集、音乐及舞蹈展演光盘(独著、主编或第一作者),不含论文集、习题集等。“学术专著”指个人独著,不含个人编著、两人合著等，副教授专著一般不少于10万字（教授应不少于15万字）。合著，副教授执笔字数一般不少于8万字（教授应不少于12万字），编著、译著、教材，副教授执笔字数一般不少于10万字（教授应不少于15万字），以封面、版权页署名以及前言或后记中明确说明为准。</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学术论文"是指在国内外公开发行的学术刊物(有ISSN或CN刊号)上发表的本专业或相近专业学术论文(独著、第一作者或通讯作者)。论文发表的刊物不含增刊、特刊、专刊、论文集等形式的刊物。经学校批准的学历提升的教职工，在攻读硕士、博士或者在站博士后期间，以第一作者或通讯作者，且以武汉工程科技学院为第一或第二署名单位（如我校为第二署名单位，则第一署名必须为就读学校）发表的学术论文，纳入申报成果统计。</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304" w:line="360" w:lineRule="auto"/>
        <w:ind w:firstLine="780" w:firstLineChars="300"/>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lang w:val="en-US" w:eastAsia="zh-CN"/>
        </w:rPr>
        <w:t>10.</w:t>
      </w:r>
      <w:r>
        <w:rPr>
          <w:rFonts w:hint="eastAsia" w:ascii="宋体" w:hAnsi="宋体" w:eastAsia="宋体" w:cs="宋体"/>
          <w:color w:val="auto"/>
          <w:spacing w:val="-10"/>
          <w:sz w:val="28"/>
          <w:szCs w:val="28"/>
          <w:highlight w:val="none"/>
        </w:rPr>
        <w:t>本条件中，“国外权威刊物”是指：SCI（科学引文索引）、EI（工程索引）、ISTP（科技会议录索引）、SSCI（社会科学引文索引）、A&amp;HCI（艺术与人文科学引文索引），需提供有资质的检索部门收录证明；“国内核心期刊”(独著、第一作者或通讯作者)是指：《中文核心期刊目录总览》（北京大学图书馆编写，北京大学出版）、《中文社会科学引文</w:t>
      </w:r>
      <w:r>
        <w:rPr>
          <w:rFonts w:hint="eastAsia" w:ascii="宋体" w:hAnsi="宋体" w:eastAsia="宋体" w:cs="宋体"/>
          <w:color w:val="auto"/>
          <w:spacing w:val="-8"/>
          <w:sz w:val="28"/>
          <w:szCs w:val="28"/>
          <w:highlight w:val="none"/>
        </w:rPr>
        <w:t>索引》</w:t>
      </w:r>
      <w:r>
        <w:rPr>
          <w:rFonts w:hint="eastAsia" w:ascii="微软雅黑" w:hAnsi="微软雅黑" w:eastAsia="微软雅黑" w:cs="微软雅黑"/>
          <w:color w:val="auto"/>
          <w:sz w:val="27"/>
          <w:szCs w:val="27"/>
          <w:highlight w:val="none"/>
          <w:shd w:val="clear" w:color="auto" w:fill="FFFFFF"/>
        </w:rPr>
        <w:t> </w:t>
      </w:r>
      <w:r>
        <w:rPr>
          <w:rFonts w:hint="eastAsia" w:ascii="宋体" w:hAnsi="宋体" w:eastAsia="宋体" w:cs="宋体"/>
          <w:color w:val="auto"/>
          <w:spacing w:val="-8"/>
          <w:sz w:val="28"/>
          <w:szCs w:val="28"/>
          <w:highlight w:val="none"/>
        </w:rPr>
        <w:t>和《中国科学引文数据库——核心库》中的期刊，含《人民日报》</w:t>
      </w:r>
      <w:r>
        <w:rPr>
          <w:rFonts w:hint="eastAsia" w:ascii="宋体" w:hAnsi="宋体" w:eastAsia="宋体" w:cs="宋体"/>
          <w:color w:val="auto"/>
          <w:spacing w:val="-8"/>
          <w:sz w:val="28"/>
          <w:szCs w:val="28"/>
          <w:highlight w:val="none"/>
          <w:lang w:eastAsia="zh-CN"/>
        </w:rPr>
        <w:t>、</w:t>
      </w:r>
      <w:r>
        <w:rPr>
          <w:rFonts w:hint="eastAsia" w:ascii="宋体" w:hAnsi="宋体" w:eastAsia="宋体" w:cs="宋体"/>
          <w:color w:val="auto"/>
          <w:spacing w:val="-8"/>
          <w:sz w:val="28"/>
          <w:szCs w:val="28"/>
          <w:highlight w:val="none"/>
        </w:rPr>
        <w:t>《光明日报》</w:t>
      </w:r>
      <w:r>
        <w:rPr>
          <w:rFonts w:hint="eastAsia" w:ascii="宋体" w:hAnsi="宋体" w:eastAsia="宋体" w:cs="宋体"/>
          <w:color w:val="auto"/>
          <w:spacing w:val="-8"/>
          <w:sz w:val="28"/>
          <w:szCs w:val="28"/>
          <w:highlight w:val="none"/>
          <w:lang w:eastAsia="zh-CN"/>
        </w:rPr>
        <w:t>、</w:t>
      </w:r>
      <w:r>
        <w:rPr>
          <w:rFonts w:hint="eastAsia" w:ascii="宋体" w:hAnsi="宋体" w:eastAsia="宋体" w:cs="宋体"/>
          <w:color w:val="auto"/>
          <w:spacing w:val="-8"/>
          <w:sz w:val="28"/>
          <w:szCs w:val="28"/>
          <w:highlight w:val="none"/>
        </w:rPr>
        <w:t>《经济日报》</w:t>
      </w:r>
      <w:r>
        <w:rPr>
          <w:rFonts w:hint="eastAsia" w:ascii="宋体" w:hAnsi="宋体" w:eastAsia="宋体" w:cs="宋体"/>
          <w:color w:val="auto"/>
          <w:spacing w:val="-8"/>
          <w:sz w:val="28"/>
          <w:szCs w:val="28"/>
          <w:highlight w:val="none"/>
          <w:lang w:eastAsia="zh-CN"/>
        </w:rPr>
        <w:t>、</w:t>
      </w:r>
      <w:r>
        <w:rPr>
          <w:rFonts w:hint="eastAsia" w:ascii="宋体" w:hAnsi="宋体" w:eastAsia="宋体" w:cs="宋体"/>
          <w:color w:val="auto"/>
          <w:spacing w:val="-8"/>
          <w:sz w:val="28"/>
          <w:szCs w:val="28"/>
          <w:highlight w:val="none"/>
        </w:rPr>
        <w:t>《中国社会科学文摘》</w:t>
      </w:r>
      <w:r>
        <w:rPr>
          <w:rFonts w:hint="eastAsia" w:ascii="宋体" w:hAnsi="宋体" w:eastAsia="宋体" w:cs="宋体"/>
          <w:color w:val="auto"/>
          <w:spacing w:val="-8"/>
          <w:sz w:val="28"/>
          <w:szCs w:val="28"/>
          <w:highlight w:val="none"/>
          <w:lang w:eastAsia="zh-CN"/>
        </w:rPr>
        <w:t>、</w:t>
      </w:r>
      <w:r>
        <w:rPr>
          <w:rFonts w:hint="eastAsia" w:ascii="宋体" w:hAnsi="宋体" w:eastAsia="宋体" w:cs="宋体"/>
          <w:color w:val="auto"/>
          <w:spacing w:val="-8"/>
          <w:sz w:val="28"/>
          <w:szCs w:val="28"/>
          <w:highlight w:val="none"/>
        </w:rPr>
        <w:t>《中国教育报》</w:t>
      </w:r>
      <w:r>
        <w:rPr>
          <w:rFonts w:hint="eastAsia" w:ascii="宋体" w:hAnsi="宋体" w:eastAsia="宋体" w:cs="宋体"/>
          <w:color w:val="auto"/>
          <w:spacing w:val="-8"/>
          <w:sz w:val="28"/>
          <w:szCs w:val="28"/>
          <w:highlight w:val="none"/>
          <w:lang w:eastAsia="zh-CN"/>
        </w:rPr>
        <w:t>、</w:t>
      </w:r>
      <w:r>
        <w:rPr>
          <w:rFonts w:hint="eastAsia" w:ascii="宋体" w:hAnsi="宋体" w:eastAsia="宋体" w:cs="宋体"/>
          <w:color w:val="auto"/>
          <w:spacing w:val="-8"/>
          <w:sz w:val="28"/>
          <w:szCs w:val="28"/>
          <w:highlight w:val="none"/>
        </w:rPr>
        <w:t>《中国青年报》</w:t>
      </w:r>
      <w:r>
        <w:rPr>
          <w:rFonts w:hint="eastAsia" w:ascii="宋体" w:hAnsi="宋体" w:eastAsia="宋体" w:cs="宋体"/>
          <w:color w:val="auto"/>
          <w:spacing w:val="-8"/>
          <w:sz w:val="28"/>
          <w:szCs w:val="28"/>
          <w:highlight w:val="none"/>
          <w:lang w:eastAsia="zh-CN"/>
        </w:rPr>
        <w:t>、</w:t>
      </w:r>
      <w:r>
        <w:rPr>
          <w:rFonts w:hint="eastAsia" w:ascii="宋体" w:hAnsi="宋体" w:eastAsia="宋体" w:cs="宋体"/>
          <w:color w:val="auto"/>
          <w:spacing w:val="-8"/>
          <w:sz w:val="28"/>
          <w:szCs w:val="28"/>
          <w:highlight w:val="none"/>
        </w:rPr>
        <w:t>《解放军报》</w:t>
      </w:r>
      <w:r>
        <w:rPr>
          <w:rFonts w:hint="eastAsia" w:ascii="宋体" w:hAnsi="宋体" w:eastAsia="宋体" w:cs="宋体"/>
          <w:color w:val="auto"/>
          <w:spacing w:val="-8"/>
          <w:sz w:val="28"/>
          <w:szCs w:val="28"/>
          <w:highlight w:val="none"/>
          <w:lang w:eastAsia="zh-CN"/>
        </w:rPr>
        <w:t>、</w:t>
      </w:r>
      <w:r>
        <w:rPr>
          <w:rFonts w:hint="eastAsia" w:ascii="宋体" w:hAnsi="宋体" w:eastAsia="宋体" w:cs="宋体"/>
          <w:color w:val="auto"/>
          <w:spacing w:val="-8"/>
          <w:sz w:val="28"/>
          <w:szCs w:val="28"/>
          <w:highlight w:val="none"/>
        </w:rPr>
        <w:t>被中国人民大学复印报刊资料全文转载</w:t>
      </w:r>
      <w:r>
        <w:rPr>
          <w:rFonts w:hint="eastAsia" w:ascii="宋体" w:hAnsi="宋体" w:eastAsia="宋体" w:cs="宋体"/>
          <w:color w:val="auto"/>
          <w:spacing w:val="-8"/>
          <w:sz w:val="28"/>
          <w:szCs w:val="28"/>
          <w:highlight w:val="none"/>
          <w:lang w:val="en-US" w:eastAsia="zh-CN"/>
        </w:rPr>
        <w:t>和</w:t>
      </w:r>
      <w:r>
        <w:rPr>
          <w:rFonts w:hint="eastAsia" w:ascii="宋体" w:hAnsi="宋体" w:eastAsia="宋体" w:cs="宋体"/>
          <w:color w:val="auto"/>
          <w:spacing w:val="-8"/>
          <w:sz w:val="28"/>
          <w:szCs w:val="28"/>
          <w:highlight w:val="none"/>
        </w:rPr>
        <w:t>政策咨询报告被省级以上政府部门采纳或得到省级以上主要领导肯定批示</w:t>
      </w:r>
      <w:r>
        <w:rPr>
          <w:rFonts w:hint="eastAsia" w:ascii="宋体" w:hAnsi="宋体" w:eastAsia="宋体" w:cs="宋体"/>
          <w:color w:val="auto"/>
          <w:spacing w:val="-8"/>
          <w:sz w:val="28"/>
          <w:szCs w:val="28"/>
          <w:highlight w:val="none"/>
          <w:lang w:eastAsia="zh-CN"/>
        </w:rPr>
        <w:t>，</w:t>
      </w:r>
      <w:r>
        <w:rPr>
          <w:rFonts w:hint="eastAsia" w:ascii="宋体" w:hAnsi="宋体" w:eastAsia="宋体" w:cs="宋体"/>
          <w:color w:val="auto"/>
          <w:spacing w:val="-8"/>
          <w:sz w:val="28"/>
          <w:szCs w:val="28"/>
          <w:highlight w:val="none"/>
        </w:rPr>
        <w:t>报纸类文章字数应</w:t>
      </w:r>
      <w:r>
        <w:rPr>
          <w:rFonts w:hint="eastAsia" w:ascii="宋体" w:hAnsi="宋体" w:eastAsia="宋体" w:cs="宋体"/>
          <w:color w:val="auto"/>
          <w:spacing w:val="-10"/>
          <w:sz w:val="28"/>
          <w:szCs w:val="28"/>
          <w:highlight w:val="none"/>
        </w:rPr>
        <w:t>在2000字以上，一般期刊被三大文摘转载视为核心期刊。不含核心期刊书评。</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304" w:line="360" w:lineRule="auto"/>
        <w:ind w:firstLine="780" w:firstLineChars="300"/>
        <w:textAlignment w:val="baseline"/>
        <w:rPr>
          <w:rFonts w:hint="default" w:ascii="宋体" w:hAnsi="宋体" w:eastAsia="宋体" w:cs="宋体"/>
          <w:color w:val="auto"/>
          <w:spacing w:val="-10"/>
          <w:sz w:val="28"/>
          <w:szCs w:val="28"/>
          <w:highlight w:val="none"/>
          <w:lang w:val="en-US" w:eastAsia="zh-CN"/>
        </w:rPr>
      </w:pPr>
      <w:r>
        <w:rPr>
          <w:rFonts w:hint="eastAsia" w:ascii="宋体" w:hAnsi="宋体" w:eastAsia="宋体" w:cs="宋体"/>
          <w:color w:val="auto"/>
          <w:spacing w:val="-10"/>
          <w:sz w:val="28"/>
          <w:szCs w:val="28"/>
          <w:highlight w:val="none"/>
          <w:lang w:val="en-US" w:eastAsia="zh-CN"/>
        </w:rPr>
        <w:t>11.</w:t>
      </w:r>
      <w:r>
        <w:rPr>
          <w:rFonts w:hint="eastAsia" w:ascii="宋体" w:hAnsi="宋体" w:eastAsia="宋体" w:cs="宋体"/>
          <w:color w:val="auto"/>
          <w:spacing w:val="-10"/>
          <w:sz w:val="28"/>
          <w:szCs w:val="28"/>
          <w:highlight w:val="none"/>
        </w:rPr>
        <w:t>学校认定的“双师型”教师</w:t>
      </w:r>
      <w:r>
        <w:rPr>
          <w:rFonts w:hint="eastAsia" w:ascii="宋体" w:hAnsi="宋体" w:eastAsia="宋体" w:cs="宋体"/>
          <w:color w:val="auto"/>
          <w:spacing w:val="-10"/>
          <w:sz w:val="28"/>
          <w:szCs w:val="28"/>
          <w:highlight w:val="none"/>
          <w:lang w:eastAsia="zh-CN"/>
        </w:rPr>
        <w:t>（</w:t>
      </w:r>
      <w:r>
        <w:rPr>
          <w:rFonts w:hint="eastAsia" w:ascii="宋体" w:hAnsi="宋体" w:eastAsia="宋体" w:cs="宋体"/>
          <w:color w:val="auto"/>
          <w:spacing w:val="-10"/>
          <w:sz w:val="28"/>
          <w:szCs w:val="28"/>
          <w:highlight w:val="none"/>
          <w:lang w:val="en-US" w:eastAsia="zh-CN"/>
        </w:rPr>
        <w:t>不包含</w:t>
      </w:r>
      <w:r>
        <w:rPr>
          <w:rFonts w:hint="eastAsia" w:ascii="宋体" w:hAnsi="宋体" w:eastAsia="宋体" w:cs="宋体"/>
          <w:color w:val="auto"/>
          <w:spacing w:val="-10"/>
          <w:sz w:val="28"/>
          <w:szCs w:val="28"/>
          <w:highlight w:val="none"/>
        </w:rPr>
        <w:t>公共基础课高等数学教学的教师</w:t>
      </w:r>
      <w:r>
        <w:rPr>
          <w:rFonts w:hint="eastAsia" w:ascii="宋体" w:hAnsi="宋体" w:eastAsia="宋体" w:cs="宋体"/>
          <w:color w:val="auto"/>
          <w:spacing w:val="-10"/>
          <w:sz w:val="28"/>
          <w:szCs w:val="28"/>
          <w:highlight w:val="none"/>
          <w:lang w:eastAsia="zh-CN"/>
        </w:rPr>
        <w:t>）</w:t>
      </w:r>
      <w:r>
        <w:rPr>
          <w:rFonts w:hint="eastAsia" w:ascii="宋体" w:hAnsi="宋体" w:eastAsia="宋体" w:cs="宋体"/>
          <w:color w:val="auto"/>
          <w:spacing w:val="-10"/>
          <w:sz w:val="28"/>
          <w:szCs w:val="28"/>
          <w:highlight w:val="none"/>
        </w:rPr>
        <w:t>要求符合《武汉工程科技学院</w:t>
      </w:r>
      <w:r>
        <w:rPr>
          <w:rFonts w:hint="eastAsia" w:ascii="宋体" w:hAnsi="宋体" w:eastAsia="宋体" w:cs="宋体"/>
          <w:color w:val="auto"/>
          <w:spacing w:val="-10"/>
          <w:sz w:val="28"/>
          <w:szCs w:val="28"/>
          <w:highlight w:val="none"/>
          <w:lang w:eastAsia="zh-CN"/>
        </w:rPr>
        <w:t>“</w:t>
      </w:r>
      <w:r>
        <w:rPr>
          <w:rFonts w:hint="eastAsia" w:ascii="宋体" w:hAnsi="宋体" w:eastAsia="宋体" w:cs="宋体"/>
          <w:color w:val="auto"/>
          <w:spacing w:val="-10"/>
          <w:sz w:val="28"/>
          <w:szCs w:val="28"/>
          <w:highlight w:val="none"/>
          <w:lang w:val="en-US" w:eastAsia="zh-CN"/>
        </w:rPr>
        <w:t>双师型</w:t>
      </w:r>
      <w:r>
        <w:rPr>
          <w:rFonts w:hint="eastAsia" w:ascii="宋体" w:hAnsi="宋体" w:eastAsia="宋体" w:cs="宋体"/>
          <w:color w:val="auto"/>
          <w:spacing w:val="-10"/>
          <w:sz w:val="28"/>
          <w:szCs w:val="28"/>
          <w:highlight w:val="none"/>
          <w:lang w:eastAsia="zh-CN"/>
        </w:rPr>
        <w:t>”</w:t>
      </w:r>
      <w:r>
        <w:rPr>
          <w:rFonts w:hint="eastAsia" w:ascii="宋体" w:hAnsi="宋体" w:eastAsia="宋体" w:cs="宋体"/>
          <w:color w:val="auto"/>
          <w:spacing w:val="-10"/>
          <w:sz w:val="28"/>
          <w:szCs w:val="28"/>
          <w:highlight w:val="none"/>
          <w:lang w:val="en-US" w:eastAsia="zh-CN"/>
        </w:rPr>
        <w:t>教师队伍建设与培养管理办法（修订）</w:t>
      </w:r>
      <w:r>
        <w:rPr>
          <w:rFonts w:hint="eastAsia" w:ascii="宋体" w:hAnsi="宋体" w:eastAsia="宋体" w:cs="宋体"/>
          <w:color w:val="auto"/>
          <w:spacing w:val="-10"/>
          <w:sz w:val="28"/>
          <w:szCs w:val="28"/>
          <w:highlight w:val="none"/>
        </w:rPr>
        <w:t>》（武工院字〔202</w:t>
      </w:r>
      <w:r>
        <w:rPr>
          <w:rFonts w:hint="eastAsia" w:ascii="宋体" w:hAnsi="宋体" w:eastAsia="宋体" w:cs="宋体"/>
          <w:color w:val="auto"/>
          <w:spacing w:val="-10"/>
          <w:sz w:val="28"/>
          <w:szCs w:val="28"/>
          <w:highlight w:val="none"/>
          <w:lang w:val="en-US" w:eastAsia="zh-CN"/>
        </w:rPr>
        <w:t>2</w:t>
      </w:r>
      <w:r>
        <w:rPr>
          <w:rFonts w:hint="eastAsia" w:ascii="宋体" w:hAnsi="宋体" w:eastAsia="宋体" w:cs="宋体"/>
          <w:color w:val="auto"/>
          <w:spacing w:val="-10"/>
          <w:sz w:val="28"/>
          <w:szCs w:val="28"/>
          <w:highlight w:val="none"/>
        </w:rPr>
        <w:t>〕</w:t>
      </w:r>
      <w:r>
        <w:rPr>
          <w:rFonts w:hint="eastAsia" w:ascii="宋体" w:hAnsi="宋体" w:eastAsia="宋体" w:cs="宋体"/>
          <w:color w:val="auto"/>
          <w:spacing w:val="-10"/>
          <w:sz w:val="28"/>
          <w:szCs w:val="28"/>
          <w:highlight w:val="none"/>
          <w:lang w:val="en-US" w:eastAsia="zh-CN"/>
        </w:rPr>
        <w:t>50</w:t>
      </w:r>
      <w:r>
        <w:rPr>
          <w:rFonts w:hint="eastAsia" w:ascii="宋体" w:hAnsi="宋体" w:eastAsia="宋体" w:cs="宋体"/>
          <w:color w:val="auto"/>
          <w:spacing w:val="-10"/>
          <w:sz w:val="28"/>
          <w:szCs w:val="28"/>
          <w:highlight w:val="none"/>
        </w:rPr>
        <w:t>号）文件的相关规定。</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第十四条</w:t>
      </w:r>
      <w:r>
        <w:rPr>
          <w:rFonts w:hint="eastAsia" w:ascii="宋体" w:hAnsi="宋体" w:eastAsia="宋体" w:cs="宋体"/>
          <w:color w:val="auto"/>
          <w:spacing w:val="-10"/>
          <w:sz w:val="28"/>
          <w:szCs w:val="28"/>
          <w:highlight w:val="none"/>
          <w:lang w:val="en-US" w:eastAsia="zh-CN"/>
        </w:rPr>
        <w:t xml:space="preserve"> </w:t>
      </w:r>
      <w:r>
        <w:rPr>
          <w:rFonts w:hint="eastAsia" w:ascii="宋体" w:hAnsi="宋体" w:eastAsia="宋体" w:cs="宋体"/>
          <w:color w:val="auto"/>
          <w:spacing w:val="-10"/>
          <w:sz w:val="28"/>
          <w:szCs w:val="28"/>
          <w:highlight w:val="none"/>
        </w:rPr>
        <w:t>同一成果奖励、项目、课题、著作和教材不重复计算。</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第十五条</w:t>
      </w:r>
      <w:r>
        <w:rPr>
          <w:rFonts w:hint="eastAsia" w:ascii="宋体" w:hAnsi="宋体" w:eastAsia="宋体" w:cs="宋体"/>
          <w:color w:val="auto"/>
          <w:spacing w:val="-10"/>
          <w:sz w:val="28"/>
          <w:szCs w:val="28"/>
          <w:highlight w:val="none"/>
          <w:lang w:val="en-US" w:eastAsia="zh-CN"/>
        </w:rPr>
        <w:t xml:space="preserve"> </w:t>
      </w:r>
      <w:r>
        <w:rPr>
          <w:rFonts w:hint="eastAsia" w:ascii="宋体" w:hAnsi="宋体" w:eastAsia="宋体" w:cs="宋体"/>
          <w:color w:val="auto"/>
          <w:spacing w:val="-10"/>
          <w:sz w:val="28"/>
          <w:szCs w:val="28"/>
          <w:highlight w:val="none"/>
        </w:rPr>
        <w:t>其他：</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一、正常晋升高级专业技术职务任职资格时，在条件相当的情况下，符合下列条件之一，可优先评审：</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lang w:val="en-US" w:eastAsia="zh-CN"/>
        </w:rPr>
        <w:t>1.</w:t>
      </w:r>
      <w:r>
        <w:rPr>
          <w:rFonts w:hint="eastAsia" w:ascii="宋体" w:hAnsi="宋体" w:eastAsia="宋体" w:cs="宋体"/>
          <w:color w:val="auto"/>
          <w:spacing w:val="-10"/>
          <w:sz w:val="28"/>
          <w:szCs w:val="28"/>
          <w:highlight w:val="none"/>
        </w:rPr>
        <w:t>任现职近5年，各年度考核均为合格以上，且2年课堂教学质量综合排名成绩10%的或年度考核优秀等次2次以上的或获得学校七一表彰、教师节表彰、年终表彰等校级优秀等次3次以上的。</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lang w:val="en-US" w:eastAsia="zh-CN"/>
        </w:rPr>
        <w:t>2.</w:t>
      </w:r>
      <w:r>
        <w:rPr>
          <w:rFonts w:hint="eastAsia" w:ascii="宋体" w:hAnsi="宋体" w:eastAsia="宋体" w:cs="宋体"/>
          <w:color w:val="auto"/>
          <w:spacing w:val="-10"/>
          <w:sz w:val="28"/>
          <w:szCs w:val="28"/>
          <w:highlight w:val="none"/>
        </w:rPr>
        <w:t>为学校重点战略工作做出突出贡献者。</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二、凡三年内有以下情况之一者，不得申报评审专业技术职务任职资格。</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1.违反师德师风相关规定的；</w:t>
      </w:r>
      <w:r>
        <w:rPr>
          <w:rFonts w:hint="eastAsia" w:ascii="宋体" w:hAnsi="宋体" w:eastAsia="宋体" w:cs="宋体"/>
          <w:color w:val="auto"/>
          <w:spacing w:val="-10"/>
          <w:sz w:val="28"/>
          <w:szCs w:val="28"/>
          <w:highlight w:val="none"/>
        </w:rPr>
        <w:br w:type="textWrapping"/>
      </w:r>
      <w:r>
        <w:rPr>
          <w:rFonts w:hint="eastAsia" w:ascii="宋体" w:hAnsi="宋体" w:eastAsia="宋体" w:cs="宋体"/>
          <w:color w:val="auto"/>
          <w:spacing w:val="-10"/>
          <w:sz w:val="28"/>
          <w:szCs w:val="28"/>
          <w:highlight w:val="none"/>
        </w:rPr>
        <w:t xml:space="preserve">   </w:t>
      </w:r>
      <w:r>
        <w:rPr>
          <w:rFonts w:hint="eastAsia" w:ascii="宋体" w:hAnsi="宋体" w:eastAsia="宋体" w:cs="宋体"/>
          <w:color w:val="auto"/>
          <w:spacing w:val="-10"/>
          <w:sz w:val="28"/>
          <w:szCs w:val="28"/>
          <w:highlight w:val="none"/>
          <w:lang w:val="en-US" w:eastAsia="zh-CN"/>
        </w:rPr>
        <w:t xml:space="preserve"> </w:t>
      </w:r>
      <w:r>
        <w:rPr>
          <w:rFonts w:hint="eastAsia" w:ascii="宋体" w:hAnsi="宋体" w:eastAsia="宋体" w:cs="宋体"/>
          <w:color w:val="auto"/>
          <w:spacing w:val="-10"/>
          <w:sz w:val="28"/>
          <w:szCs w:val="28"/>
          <w:highlight w:val="none"/>
        </w:rPr>
        <w:t xml:space="preserve"> 2.工作严重失职，造成恶劣影响的；</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3.年度考核不合格或连续两年考核基本合格的；</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4.伪造学历、资历，或申报业绩、成果弄虚作假，剽窃他人成果的；</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5.受到刑事处罚、行政处分，刑期和处分期未满三年。</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三、因发生教学事故者，限期申报评审专业技术职务任职资格。</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1.发生三级教学事故者，自发文之日起，1年内不得申报；</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2.发生二级教学事故者，自发文之日起，2年内不得申报。</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8"/>
          <w:sz w:val="28"/>
          <w:szCs w:val="28"/>
          <w:highlight w:val="none"/>
        </w:rPr>
        <w:t>四、</w:t>
      </w:r>
      <w:r>
        <w:rPr>
          <w:rFonts w:hint="eastAsia" w:ascii="宋体" w:hAnsi="宋体" w:eastAsia="宋体" w:cs="宋体"/>
          <w:color w:val="auto"/>
          <w:spacing w:val="8"/>
          <w:sz w:val="28"/>
          <w:szCs w:val="28"/>
          <w:highlight w:val="none"/>
          <w:lang w:val="en-US" w:eastAsia="zh-CN"/>
        </w:rPr>
        <w:t>所指导的</w:t>
      </w:r>
      <w:r>
        <w:rPr>
          <w:rFonts w:hint="eastAsia" w:ascii="宋体" w:hAnsi="宋体" w:eastAsia="宋体" w:cs="宋体"/>
          <w:color w:val="auto"/>
          <w:spacing w:val="8"/>
          <w:sz w:val="28"/>
          <w:szCs w:val="28"/>
          <w:highlight w:val="none"/>
        </w:rPr>
        <w:t>学生毕业论文被教育部抽检不合格者，2年内不得</w:t>
      </w:r>
      <w:r>
        <w:rPr>
          <w:rFonts w:hint="eastAsia" w:ascii="宋体" w:hAnsi="宋体" w:eastAsia="宋体" w:cs="宋体"/>
          <w:color w:val="auto"/>
          <w:spacing w:val="-10"/>
          <w:sz w:val="28"/>
          <w:szCs w:val="28"/>
          <w:highlight w:val="none"/>
        </w:rPr>
        <w:t>申报。</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firstLine="644"/>
        <w:textAlignment w:val="baseline"/>
        <w:rPr>
          <w:rFonts w:hint="eastAsia" w:ascii="宋体" w:hAnsi="宋体" w:eastAsia="宋体" w:cs="宋体"/>
          <w:color w:val="auto"/>
          <w:spacing w:val="-10"/>
          <w:sz w:val="28"/>
          <w:szCs w:val="28"/>
          <w:highlight w:val="none"/>
        </w:rPr>
      </w:pPr>
      <w:r>
        <w:rPr>
          <w:rFonts w:hint="eastAsia" w:ascii="宋体" w:hAnsi="宋体" w:eastAsia="宋体" w:cs="宋体"/>
          <w:color w:val="auto"/>
          <w:spacing w:val="-10"/>
          <w:sz w:val="28"/>
          <w:szCs w:val="28"/>
          <w:highlight w:val="none"/>
        </w:rPr>
        <w:t>第十六条 本评审条件由学校职称改革工作领导小组办公室负责解释。本评审条件自</w:t>
      </w:r>
      <w:r>
        <w:rPr>
          <w:rFonts w:hint="eastAsia" w:ascii="宋体" w:hAnsi="宋体" w:eastAsia="宋体" w:cs="宋体"/>
          <w:color w:val="auto"/>
          <w:spacing w:val="-10"/>
          <w:sz w:val="28"/>
          <w:szCs w:val="28"/>
          <w:highlight w:val="none"/>
          <w:lang w:val="en-US" w:eastAsia="zh-CN"/>
        </w:rPr>
        <w:t>2024年2月1日</w:t>
      </w:r>
      <w:r>
        <w:rPr>
          <w:rFonts w:hint="eastAsia" w:ascii="宋体" w:hAnsi="宋体" w:eastAsia="宋体" w:cs="宋体"/>
          <w:color w:val="auto"/>
          <w:spacing w:val="-10"/>
          <w:sz w:val="28"/>
          <w:szCs w:val="28"/>
          <w:highlight w:val="none"/>
        </w:rPr>
        <w:t>起执行，原评审条件同时废止。</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color w:val="auto"/>
          <w:sz w:val="28"/>
          <w:szCs w:val="28"/>
          <w:highlight w:val="none"/>
        </w:rPr>
      </w:pPr>
    </w:p>
    <w:p>
      <w:pPr>
        <w:keepNext w:val="0"/>
        <w:keepLines w:val="0"/>
        <w:pageBreakBefore w:val="0"/>
        <w:widowControl/>
        <w:kinsoku w:val="0"/>
        <w:wordWrap/>
        <w:overflowPunct/>
        <w:topLinePunct w:val="0"/>
        <w:autoSpaceDE w:val="0"/>
        <w:autoSpaceDN w:val="0"/>
        <w:bidi w:val="0"/>
        <w:adjustRightInd w:val="0"/>
        <w:snapToGrid w:val="0"/>
        <w:spacing w:before="105" w:line="360" w:lineRule="auto"/>
        <w:ind w:firstLine="660"/>
        <w:textAlignment w:val="baseline"/>
        <w:rPr>
          <w:rFonts w:ascii="宋体" w:hAnsi="宋体" w:eastAsia="宋体" w:cs="宋体"/>
          <w:color w:val="auto"/>
          <w:spacing w:val="-14"/>
          <w:sz w:val="28"/>
          <w:szCs w:val="28"/>
          <w:highlight w:val="none"/>
        </w:rPr>
      </w:pPr>
      <w:r>
        <w:rPr>
          <w:rFonts w:hint="eastAsia" w:ascii="宋体" w:hAnsi="宋体" w:eastAsia="宋体" w:cs="宋体"/>
          <w:color w:val="auto"/>
          <w:spacing w:val="-14"/>
          <w:sz w:val="28"/>
          <w:szCs w:val="28"/>
          <w:highlight w:val="none"/>
        </w:rPr>
        <w:t>附件：能力业绩条件</w:t>
      </w:r>
    </w:p>
    <w:p>
      <w:pPr>
        <w:keepNext w:val="0"/>
        <w:keepLines w:val="0"/>
        <w:pageBreakBefore w:val="0"/>
        <w:widowControl/>
        <w:kinsoku w:val="0"/>
        <w:wordWrap/>
        <w:overflowPunct/>
        <w:topLinePunct w:val="0"/>
        <w:autoSpaceDE w:val="0"/>
        <w:autoSpaceDN w:val="0"/>
        <w:bidi w:val="0"/>
        <w:adjustRightInd w:val="0"/>
        <w:snapToGrid w:val="0"/>
        <w:spacing w:before="101" w:line="360" w:lineRule="auto"/>
        <w:textAlignment w:val="baseline"/>
        <w:rPr>
          <w:rFonts w:ascii="宋体" w:hAnsi="宋体" w:eastAsia="宋体" w:cs="宋体"/>
          <w:color w:val="auto"/>
          <w:spacing w:val="5"/>
          <w:position w:val="20"/>
          <w:sz w:val="28"/>
          <w:szCs w:val="28"/>
          <w:highlight w:val="none"/>
        </w:rPr>
        <w:sectPr>
          <w:footerReference r:id="rId3" w:type="default"/>
          <w:pgSz w:w="11920" w:h="16840"/>
          <w:pgMar w:top="629" w:right="1474" w:bottom="629" w:left="1610" w:header="0" w:footer="1134" w:gutter="0"/>
          <w:pgNumType w:fmt="decimal" w:start="1"/>
          <w:cols w:space="720" w:num="1"/>
        </w:sectPr>
      </w:pPr>
    </w:p>
    <w:p>
      <w:pPr>
        <w:spacing w:before="110" w:line="219" w:lineRule="auto"/>
        <w:rPr>
          <w:rFonts w:ascii="宋体" w:hAnsi="宋体" w:eastAsia="宋体" w:cs="宋体"/>
          <w:color w:val="auto"/>
          <w:sz w:val="28"/>
          <w:szCs w:val="28"/>
          <w:highlight w:val="none"/>
        </w:rPr>
      </w:pPr>
      <w:r>
        <w:rPr>
          <w:rFonts w:ascii="宋体" w:hAnsi="宋体" w:eastAsia="宋体" w:cs="宋体"/>
          <w:color w:val="auto"/>
          <w:spacing w:val="-11"/>
          <w:sz w:val="28"/>
          <w:szCs w:val="28"/>
          <w:highlight w:val="none"/>
        </w:rPr>
        <w:t>附件</w:t>
      </w:r>
    </w:p>
    <w:p>
      <w:pPr>
        <w:spacing w:before="244" w:line="219" w:lineRule="auto"/>
        <w:ind w:firstLine="4108" w:firstLineChars="1300"/>
        <w:jc w:val="both"/>
        <w:rPr>
          <w:rFonts w:ascii="宋体" w:hAnsi="宋体" w:eastAsia="宋体" w:cs="宋体"/>
          <w:color w:val="auto"/>
          <w:sz w:val="28"/>
          <w:szCs w:val="28"/>
          <w:highlight w:val="none"/>
        </w:rPr>
      </w:pPr>
      <w:r>
        <w:rPr>
          <w:rFonts w:ascii="宋体" w:hAnsi="宋体" w:eastAsia="宋体" w:cs="宋体"/>
          <w:color w:val="auto"/>
          <w:spacing w:val="18"/>
          <w:sz w:val="28"/>
          <w:szCs w:val="28"/>
          <w:highlight w:val="none"/>
        </w:rPr>
        <w:t>能力业绩条件</w:t>
      </w:r>
    </w:p>
    <w:p>
      <w:pPr>
        <w:spacing w:line="52" w:lineRule="exact"/>
        <w:rPr>
          <w:color w:val="auto"/>
          <w:sz w:val="28"/>
          <w:szCs w:val="28"/>
          <w:highlight w:val="none"/>
        </w:rPr>
      </w:pPr>
    </w:p>
    <w:tbl>
      <w:tblPr>
        <w:tblStyle w:val="10"/>
        <w:tblW w:w="1003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3"/>
        <w:gridCol w:w="424"/>
        <w:gridCol w:w="90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43" w:type="dxa"/>
            <w:vMerge w:val="restart"/>
            <w:tcBorders>
              <w:top w:val="single" w:color="000000" w:sz="2" w:space="0"/>
              <w:bottom w:val="nil"/>
            </w:tcBorders>
          </w:tcPr>
          <w:p>
            <w:pPr>
              <w:spacing w:line="245" w:lineRule="auto"/>
              <w:jc w:val="center"/>
              <w:rPr>
                <w:color w:val="auto"/>
                <w:sz w:val="28"/>
                <w:szCs w:val="28"/>
                <w:highlight w:val="none"/>
              </w:rPr>
            </w:pPr>
          </w:p>
          <w:p>
            <w:pPr>
              <w:spacing w:line="245" w:lineRule="auto"/>
              <w:jc w:val="center"/>
              <w:rPr>
                <w:color w:val="auto"/>
                <w:sz w:val="28"/>
                <w:szCs w:val="28"/>
                <w:highlight w:val="none"/>
              </w:rPr>
            </w:pPr>
          </w:p>
          <w:p>
            <w:pPr>
              <w:spacing w:line="245" w:lineRule="auto"/>
              <w:jc w:val="center"/>
              <w:rPr>
                <w:color w:val="auto"/>
                <w:sz w:val="28"/>
                <w:szCs w:val="28"/>
                <w:highlight w:val="none"/>
              </w:rPr>
            </w:pPr>
          </w:p>
          <w:p>
            <w:pPr>
              <w:spacing w:line="245" w:lineRule="auto"/>
              <w:jc w:val="center"/>
              <w:rPr>
                <w:color w:val="auto"/>
                <w:sz w:val="28"/>
                <w:szCs w:val="28"/>
                <w:highlight w:val="none"/>
              </w:rPr>
            </w:pPr>
          </w:p>
          <w:p>
            <w:pPr>
              <w:spacing w:line="246" w:lineRule="auto"/>
              <w:jc w:val="center"/>
              <w:rPr>
                <w:color w:val="auto"/>
                <w:sz w:val="28"/>
                <w:szCs w:val="28"/>
                <w:highlight w:val="none"/>
              </w:rPr>
            </w:pPr>
          </w:p>
          <w:p>
            <w:pPr>
              <w:spacing w:line="246" w:lineRule="auto"/>
              <w:jc w:val="center"/>
              <w:rPr>
                <w:color w:val="auto"/>
                <w:sz w:val="28"/>
                <w:szCs w:val="28"/>
                <w:highlight w:val="none"/>
              </w:rPr>
            </w:pPr>
          </w:p>
          <w:p>
            <w:pPr>
              <w:spacing w:line="246" w:lineRule="auto"/>
              <w:jc w:val="center"/>
              <w:rPr>
                <w:color w:val="auto"/>
                <w:sz w:val="28"/>
                <w:szCs w:val="28"/>
                <w:highlight w:val="none"/>
              </w:rPr>
            </w:pPr>
          </w:p>
          <w:p>
            <w:pPr>
              <w:spacing w:line="246" w:lineRule="auto"/>
              <w:jc w:val="center"/>
              <w:rPr>
                <w:color w:val="auto"/>
                <w:sz w:val="28"/>
                <w:szCs w:val="28"/>
                <w:highlight w:val="none"/>
              </w:rPr>
            </w:pPr>
          </w:p>
          <w:p>
            <w:pPr>
              <w:spacing w:line="246" w:lineRule="auto"/>
              <w:jc w:val="center"/>
              <w:rPr>
                <w:color w:val="auto"/>
                <w:sz w:val="28"/>
                <w:szCs w:val="28"/>
                <w:highlight w:val="none"/>
              </w:rPr>
            </w:pPr>
          </w:p>
          <w:p>
            <w:pPr>
              <w:spacing w:line="246" w:lineRule="auto"/>
              <w:jc w:val="center"/>
              <w:rPr>
                <w:color w:val="auto"/>
                <w:sz w:val="28"/>
                <w:szCs w:val="28"/>
                <w:highlight w:val="none"/>
              </w:rPr>
            </w:pPr>
          </w:p>
          <w:p>
            <w:pPr>
              <w:spacing w:line="246" w:lineRule="auto"/>
              <w:jc w:val="center"/>
              <w:rPr>
                <w:color w:val="auto"/>
                <w:sz w:val="28"/>
                <w:szCs w:val="28"/>
                <w:highlight w:val="none"/>
              </w:rPr>
            </w:pPr>
          </w:p>
          <w:p>
            <w:pPr>
              <w:spacing w:line="246" w:lineRule="auto"/>
              <w:jc w:val="center"/>
              <w:rPr>
                <w:color w:val="auto"/>
                <w:sz w:val="28"/>
                <w:szCs w:val="28"/>
                <w:highlight w:val="none"/>
              </w:rPr>
            </w:pPr>
          </w:p>
          <w:p>
            <w:pPr>
              <w:spacing w:before="78" w:line="217" w:lineRule="auto"/>
              <w:jc w:val="center"/>
              <w:rPr>
                <w:rFonts w:ascii="宋体" w:hAnsi="宋体" w:eastAsia="宋体" w:cs="宋体"/>
                <w:b/>
                <w:bCs/>
                <w:color w:val="auto"/>
                <w:sz w:val="28"/>
                <w:szCs w:val="28"/>
                <w:highlight w:val="none"/>
              </w:rPr>
            </w:pPr>
            <w:r>
              <w:rPr>
                <w:rFonts w:ascii="宋体" w:hAnsi="宋体" w:eastAsia="宋体" w:cs="宋体"/>
                <w:b/>
                <w:bCs/>
                <w:color w:val="auto"/>
                <w:spacing w:val="-4"/>
                <w:sz w:val="28"/>
                <w:szCs w:val="28"/>
                <w:highlight w:val="none"/>
              </w:rPr>
              <w:t>教学</w:t>
            </w:r>
          </w:p>
          <w:p>
            <w:pPr>
              <w:spacing w:before="1" w:line="220" w:lineRule="auto"/>
              <w:jc w:val="center"/>
              <w:rPr>
                <w:rFonts w:ascii="宋体" w:hAnsi="宋体" w:eastAsia="宋体" w:cs="宋体"/>
                <w:b/>
                <w:bCs/>
                <w:color w:val="auto"/>
                <w:sz w:val="28"/>
                <w:szCs w:val="28"/>
                <w:highlight w:val="none"/>
              </w:rPr>
            </w:pPr>
            <w:r>
              <w:rPr>
                <w:rFonts w:ascii="宋体" w:hAnsi="宋体" w:eastAsia="宋体" w:cs="宋体"/>
                <w:b/>
                <w:bCs/>
                <w:color w:val="auto"/>
                <w:spacing w:val="6"/>
                <w:sz w:val="28"/>
                <w:szCs w:val="28"/>
                <w:highlight w:val="none"/>
              </w:rPr>
              <w:t>为主</w:t>
            </w:r>
          </w:p>
          <w:p>
            <w:pPr>
              <w:spacing w:before="61" w:line="219" w:lineRule="auto"/>
              <w:jc w:val="center"/>
              <w:rPr>
                <w:rFonts w:ascii="宋体" w:hAnsi="宋体" w:eastAsia="宋体" w:cs="宋体"/>
                <w:b/>
                <w:bCs/>
                <w:color w:val="auto"/>
                <w:spacing w:val="4"/>
                <w:sz w:val="28"/>
                <w:szCs w:val="28"/>
                <w:highlight w:val="none"/>
              </w:rPr>
            </w:pPr>
            <w:r>
              <w:rPr>
                <w:rFonts w:ascii="宋体" w:hAnsi="宋体" w:eastAsia="宋体" w:cs="宋体"/>
                <w:b/>
                <w:bCs/>
                <w:color w:val="auto"/>
                <w:spacing w:val="4"/>
                <w:sz w:val="28"/>
                <w:szCs w:val="28"/>
                <w:highlight w:val="none"/>
              </w:rPr>
              <w:t>型</w:t>
            </w:r>
          </w:p>
          <w:p>
            <w:pPr>
              <w:spacing w:before="61" w:line="219" w:lineRule="auto"/>
              <w:jc w:val="center"/>
              <w:rPr>
                <w:rFonts w:ascii="宋体" w:hAnsi="宋体" w:eastAsia="宋体" w:cs="宋体"/>
                <w:b/>
                <w:bCs/>
                <w:color w:val="auto"/>
                <w:sz w:val="28"/>
                <w:szCs w:val="28"/>
                <w:highlight w:val="none"/>
              </w:rPr>
            </w:pPr>
            <w:r>
              <w:rPr>
                <w:rFonts w:ascii="宋体" w:hAnsi="宋体" w:eastAsia="宋体" w:cs="宋体"/>
                <w:b/>
                <w:bCs/>
                <w:color w:val="auto"/>
                <w:spacing w:val="4"/>
                <w:sz w:val="28"/>
                <w:szCs w:val="28"/>
                <w:highlight w:val="none"/>
              </w:rPr>
              <w:t>教</w:t>
            </w:r>
          </w:p>
          <w:p>
            <w:pPr>
              <w:spacing w:before="16" w:line="221" w:lineRule="auto"/>
              <w:jc w:val="center"/>
              <w:rPr>
                <w:rFonts w:ascii="宋体" w:hAnsi="宋体" w:eastAsia="宋体" w:cs="宋体"/>
                <w:b/>
                <w:bCs/>
                <w:color w:val="auto"/>
                <w:sz w:val="28"/>
                <w:szCs w:val="28"/>
                <w:highlight w:val="none"/>
              </w:rPr>
            </w:pPr>
            <w:r>
              <w:rPr>
                <w:rFonts w:ascii="宋体" w:hAnsi="宋体" w:eastAsia="宋体" w:cs="宋体"/>
                <w:b/>
                <w:bCs/>
                <w:color w:val="auto"/>
                <w:sz w:val="28"/>
                <w:szCs w:val="28"/>
                <w:highlight w:val="none"/>
              </w:rPr>
              <w:t>授</w:t>
            </w:r>
          </w:p>
          <w:p>
            <w:pPr>
              <w:spacing w:before="16" w:line="221" w:lineRule="auto"/>
              <w:jc w:val="center"/>
              <w:rPr>
                <w:rFonts w:ascii="宋体" w:hAnsi="宋体" w:eastAsia="宋体" w:cs="宋体"/>
                <w:b/>
                <w:bCs/>
                <w:color w:val="auto"/>
                <w:sz w:val="28"/>
                <w:szCs w:val="28"/>
                <w:highlight w:val="none"/>
              </w:rPr>
            </w:pPr>
          </w:p>
        </w:tc>
        <w:tc>
          <w:tcPr>
            <w:tcW w:w="424" w:type="dxa"/>
            <w:tcBorders>
              <w:top w:val="single" w:color="000000" w:sz="2" w:space="0"/>
              <w:bottom w:val="single" w:color="000000" w:sz="2" w:space="0"/>
            </w:tcBorders>
          </w:tcPr>
          <w:p>
            <w:pPr>
              <w:spacing w:line="260" w:lineRule="auto"/>
              <w:jc w:val="center"/>
              <w:rPr>
                <w:color w:val="auto"/>
                <w:sz w:val="28"/>
                <w:szCs w:val="28"/>
                <w:highlight w:val="none"/>
              </w:rPr>
            </w:pPr>
          </w:p>
          <w:p>
            <w:pPr>
              <w:spacing w:line="260" w:lineRule="auto"/>
              <w:jc w:val="center"/>
              <w:rPr>
                <w:color w:val="auto"/>
                <w:sz w:val="28"/>
                <w:szCs w:val="28"/>
                <w:highlight w:val="none"/>
              </w:rPr>
            </w:pPr>
          </w:p>
          <w:p>
            <w:pPr>
              <w:spacing w:line="260" w:lineRule="auto"/>
              <w:jc w:val="center"/>
              <w:rPr>
                <w:color w:val="auto"/>
                <w:sz w:val="28"/>
                <w:szCs w:val="28"/>
                <w:highlight w:val="none"/>
              </w:rPr>
            </w:pPr>
          </w:p>
          <w:p>
            <w:pPr>
              <w:spacing w:line="260" w:lineRule="auto"/>
              <w:jc w:val="center"/>
              <w:rPr>
                <w:color w:val="auto"/>
                <w:sz w:val="28"/>
                <w:szCs w:val="28"/>
                <w:highlight w:val="none"/>
              </w:rPr>
            </w:pPr>
          </w:p>
          <w:p>
            <w:pPr>
              <w:spacing w:before="78" w:line="255" w:lineRule="auto"/>
              <w:ind w:right="134"/>
              <w:jc w:val="center"/>
              <w:rPr>
                <w:rFonts w:ascii="宋体" w:hAnsi="宋体" w:cs="宋体"/>
                <w:color w:val="auto"/>
                <w:sz w:val="24"/>
                <w:szCs w:val="24"/>
                <w:highlight w:val="none"/>
              </w:rPr>
            </w:pPr>
            <w:r>
              <w:rPr>
                <w:rFonts w:hint="eastAsia" w:ascii="宋体" w:hAnsi="宋体" w:cs="宋体"/>
                <w:color w:val="auto"/>
                <w:sz w:val="24"/>
                <w:szCs w:val="24"/>
                <w:highlight w:val="none"/>
              </w:rPr>
              <w:t>专</w:t>
            </w:r>
          </w:p>
          <w:p>
            <w:pPr>
              <w:spacing w:before="78" w:line="255" w:lineRule="auto"/>
              <w:ind w:right="134"/>
              <w:jc w:val="center"/>
              <w:rPr>
                <w:rFonts w:ascii="宋体" w:hAnsi="宋体" w:cs="宋体"/>
                <w:color w:val="auto"/>
                <w:sz w:val="24"/>
                <w:szCs w:val="24"/>
                <w:highlight w:val="none"/>
              </w:rPr>
            </w:pPr>
            <w:r>
              <w:rPr>
                <w:rFonts w:hint="eastAsia" w:ascii="宋体" w:hAnsi="宋体" w:cs="宋体"/>
                <w:color w:val="auto"/>
                <w:sz w:val="24"/>
                <w:szCs w:val="24"/>
                <w:highlight w:val="none"/>
              </w:rPr>
              <w:t>业</w:t>
            </w:r>
          </w:p>
          <w:p>
            <w:pPr>
              <w:spacing w:before="78" w:line="255" w:lineRule="auto"/>
              <w:ind w:right="134"/>
              <w:jc w:val="center"/>
              <w:rPr>
                <w:rFonts w:ascii="宋体" w:hAnsi="宋体" w:cs="宋体"/>
                <w:color w:val="auto"/>
                <w:sz w:val="24"/>
                <w:szCs w:val="24"/>
                <w:highlight w:val="none"/>
              </w:rPr>
            </w:pPr>
            <w:r>
              <w:rPr>
                <w:rFonts w:hint="eastAsia" w:ascii="宋体" w:hAnsi="宋体" w:cs="宋体"/>
                <w:color w:val="auto"/>
                <w:sz w:val="24"/>
                <w:szCs w:val="24"/>
                <w:highlight w:val="none"/>
              </w:rPr>
              <w:t>工</w:t>
            </w:r>
          </w:p>
          <w:p>
            <w:pPr>
              <w:spacing w:before="78" w:line="255" w:lineRule="auto"/>
              <w:ind w:right="134"/>
              <w:jc w:val="center"/>
              <w:rPr>
                <w:rFonts w:ascii="宋体" w:hAnsi="宋体" w:cs="宋体"/>
                <w:color w:val="auto"/>
                <w:sz w:val="24"/>
                <w:szCs w:val="24"/>
                <w:highlight w:val="none"/>
              </w:rPr>
            </w:pPr>
            <w:r>
              <w:rPr>
                <w:rFonts w:hint="eastAsia" w:ascii="宋体" w:hAnsi="宋体" w:cs="宋体"/>
                <w:color w:val="auto"/>
                <w:sz w:val="24"/>
                <w:szCs w:val="24"/>
                <w:highlight w:val="none"/>
              </w:rPr>
              <w:t>作</w:t>
            </w:r>
          </w:p>
          <w:p>
            <w:pPr>
              <w:spacing w:before="78" w:line="255" w:lineRule="auto"/>
              <w:ind w:right="134"/>
              <w:jc w:val="center"/>
              <w:rPr>
                <w:rFonts w:ascii="宋体" w:hAnsi="宋体" w:cs="宋体"/>
                <w:color w:val="auto"/>
                <w:sz w:val="24"/>
                <w:szCs w:val="24"/>
                <w:highlight w:val="none"/>
              </w:rPr>
            </w:pPr>
            <w:r>
              <w:rPr>
                <w:rFonts w:hint="eastAsia" w:ascii="宋体" w:hAnsi="宋体" w:cs="宋体"/>
                <w:color w:val="auto"/>
                <w:sz w:val="24"/>
                <w:szCs w:val="24"/>
                <w:highlight w:val="none"/>
              </w:rPr>
              <w:t>能</w:t>
            </w:r>
          </w:p>
          <w:p>
            <w:pPr>
              <w:spacing w:before="78" w:line="255" w:lineRule="auto"/>
              <w:ind w:right="134"/>
              <w:jc w:val="center"/>
              <w:rPr>
                <w:rFonts w:ascii="宋体" w:hAnsi="宋体" w:eastAsia="宋体" w:cs="宋体"/>
                <w:color w:val="auto"/>
                <w:sz w:val="28"/>
                <w:szCs w:val="28"/>
                <w:highlight w:val="none"/>
              </w:rPr>
            </w:pPr>
            <w:r>
              <w:rPr>
                <w:rFonts w:hint="eastAsia" w:ascii="宋体" w:hAnsi="宋体" w:cs="宋体"/>
                <w:color w:val="auto"/>
                <w:sz w:val="24"/>
                <w:szCs w:val="24"/>
                <w:highlight w:val="none"/>
              </w:rPr>
              <w:t>力</w:t>
            </w:r>
          </w:p>
        </w:tc>
        <w:tc>
          <w:tcPr>
            <w:tcW w:w="9067" w:type="dxa"/>
            <w:tcBorders>
              <w:top w:val="single" w:color="000000" w:sz="2" w:space="0"/>
              <w:bottom w:val="single" w:color="000000" w:sz="2" w:space="0"/>
            </w:tcBorders>
          </w:tcPr>
          <w:p>
            <w:pPr>
              <w:spacing w:line="360" w:lineRule="exact"/>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任现职以来，专业工作能力应具备以下条件：</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①任现职近5年来，每学年至少承担2门全日制普通本科生课程的讲授工作，完成学校规定的教学、科研等工作任务。将思想政治教育有效融入教学，在学生培养工作中做出突出贡献。</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②年均教学工作量不少于320标时（其中课堂教学工作量不少于256标时）。</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③任现职以来年度教学质量考核均为合格以上，且近五年来获学校年度教学质量考核优秀2次以上。</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④组织课堂讨论、指导实习实训、社会调查及指导毕业论文、毕业设计等各个教学环节的工作。治学严谨，教学经验丰富，教学效果优秀。具有主持本学科教育教学改革、教学法研究的能力，教学改革成绩显著。</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⑤指导过2名以上访问学者、青年教师、进修教师学习并取得较好效果。</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⑥主持或积极参与学院、系学科专业建设、人才培养方案制定、专业评估、产业学院建设、实验室建设等各项院系公共工作。</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⑦经学校认定的“双师型”教师或在国家机关、企事业单位、基层挂职工作6个月以上并产生较好的社会经济效益或取得突出成绩的。</w:t>
            </w:r>
          </w:p>
          <w:p>
            <w:pPr>
              <w:spacing w:line="360" w:lineRule="exact"/>
              <w:rPr>
                <w:rFonts w:ascii="宋体" w:hAnsi="宋体" w:eastAsia="宋体" w:cs="宋体"/>
                <w:color w:val="auto"/>
                <w:sz w:val="24"/>
                <w:szCs w:val="24"/>
                <w:highlight w:val="none"/>
              </w:rPr>
            </w:pPr>
            <w:r>
              <w:rPr>
                <w:rFonts w:hint="eastAsia" w:ascii="宋体" w:hAnsi="宋体" w:cs="宋体"/>
                <w:color w:val="auto"/>
                <w:sz w:val="24"/>
                <w:szCs w:val="24"/>
                <w:highlight w:val="none"/>
              </w:rPr>
              <w:t>⑧参与校</w:t>
            </w:r>
            <w:r>
              <w:rPr>
                <w:rFonts w:hint="eastAsia" w:ascii="宋体" w:hAnsi="宋体" w:cs="宋体"/>
                <w:color w:val="auto"/>
                <w:sz w:val="24"/>
                <w:szCs w:val="24"/>
                <w:highlight w:val="none"/>
                <w:lang w:val="en-US" w:eastAsia="zh-CN"/>
              </w:rPr>
              <w:t>级以上单位</w:t>
            </w:r>
            <w:r>
              <w:rPr>
                <w:rFonts w:hint="eastAsia" w:ascii="宋体" w:hAnsi="宋体" w:cs="宋体"/>
                <w:color w:val="auto"/>
                <w:sz w:val="24"/>
                <w:szCs w:val="24"/>
                <w:highlight w:val="none"/>
              </w:rPr>
              <w:t>组织的各类竞赛</w:t>
            </w:r>
            <w:r>
              <w:rPr>
                <w:rFonts w:hint="eastAsia" w:ascii="宋体" w:hAnsi="宋体" w:cs="宋体"/>
                <w:color w:val="auto"/>
                <w:sz w:val="24"/>
                <w:szCs w:val="24"/>
                <w:highlight w:val="none"/>
                <w:lang w:val="en-US" w:eastAsia="zh-CN"/>
              </w:rPr>
              <w:t>一次以上</w:t>
            </w:r>
            <w:r>
              <w:rPr>
                <w:rFonts w:hint="eastAsia" w:ascii="宋体" w:hAnsi="宋体" w:cs="宋体"/>
                <w:color w:val="auto"/>
                <w:sz w:val="24"/>
                <w:szCs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3" w:hRule="atLeast"/>
        </w:trPr>
        <w:tc>
          <w:tcPr>
            <w:tcW w:w="543" w:type="dxa"/>
            <w:vMerge w:val="continue"/>
            <w:tcBorders>
              <w:top w:val="nil"/>
              <w:bottom w:val="single" w:color="000000" w:sz="2" w:space="0"/>
            </w:tcBorders>
          </w:tcPr>
          <w:p>
            <w:pPr>
              <w:jc w:val="center"/>
              <w:rPr>
                <w:color w:val="auto"/>
                <w:sz w:val="28"/>
                <w:szCs w:val="28"/>
                <w:highlight w:val="none"/>
              </w:rPr>
            </w:pPr>
          </w:p>
        </w:tc>
        <w:tc>
          <w:tcPr>
            <w:tcW w:w="424" w:type="dxa"/>
            <w:tcBorders>
              <w:top w:val="single" w:color="000000" w:sz="2" w:space="0"/>
              <w:bottom w:val="single" w:color="000000" w:sz="2" w:space="0"/>
            </w:tcBorders>
          </w:tcPr>
          <w:p>
            <w:pPr>
              <w:spacing w:line="262" w:lineRule="auto"/>
              <w:jc w:val="center"/>
              <w:rPr>
                <w:color w:val="auto"/>
                <w:sz w:val="28"/>
                <w:szCs w:val="28"/>
                <w:highlight w:val="none"/>
              </w:rPr>
            </w:pPr>
          </w:p>
          <w:p>
            <w:pPr>
              <w:spacing w:line="262" w:lineRule="auto"/>
              <w:jc w:val="center"/>
              <w:rPr>
                <w:color w:val="auto"/>
                <w:sz w:val="28"/>
                <w:szCs w:val="28"/>
                <w:highlight w:val="none"/>
              </w:rPr>
            </w:pPr>
          </w:p>
          <w:p>
            <w:pPr>
              <w:spacing w:line="262" w:lineRule="auto"/>
              <w:jc w:val="center"/>
              <w:rPr>
                <w:color w:val="auto"/>
                <w:sz w:val="28"/>
                <w:szCs w:val="28"/>
                <w:highlight w:val="none"/>
              </w:rPr>
            </w:pPr>
          </w:p>
          <w:p>
            <w:pPr>
              <w:spacing w:line="262" w:lineRule="auto"/>
              <w:jc w:val="center"/>
              <w:rPr>
                <w:color w:val="auto"/>
                <w:sz w:val="28"/>
                <w:szCs w:val="28"/>
                <w:highlight w:val="none"/>
              </w:rPr>
            </w:pPr>
          </w:p>
          <w:p>
            <w:pPr>
              <w:spacing w:line="262" w:lineRule="auto"/>
              <w:jc w:val="center"/>
              <w:rPr>
                <w:color w:val="auto"/>
                <w:sz w:val="28"/>
                <w:szCs w:val="28"/>
                <w:highlight w:val="none"/>
              </w:rPr>
            </w:pPr>
          </w:p>
          <w:p>
            <w:pPr>
              <w:spacing w:line="262" w:lineRule="auto"/>
              <w:jc w:val="center"/>
              <w:rPr>
                <w:color w:val="auto"/>
                <w:sz w:val="28"/>
                <w:szCs w:val="28"/>
                <w:highlight w:val="none"/>
              </w:rPr>
            </w:pPr>
          </w:p>
          <w:p>
            <w:pPr>
              <w:spacing w:before="78" w:line="244" w:lineRule="auto"/>
              <w:ind w:right="17"/>
              <w:jc w:val="center"/>
              <w:rPr>
                <w:rFonts w:ascii="宋体" w:hAnsi="宋体" w:cs="宋体"/>
                <w:color w:val="auto"/>
                <w:sz w:val="24"/>
                <w:szCs w:val="24"/>
                <w:highlight w:val="none"/>
              </w:rPr>
            </w:pPr>
            <w:r>
              <w:rPr>
                <w:rFonts w:hint="eastAsia" w:ascii="宋体" w:hAnsi="宋体" w:cs="宋体"/>
                <w:color w:val="auto"/>
                <w:sz w:val="24"/>
                <w:szCs w:val="24"/>
                <w:highlight w:val="none"/>
              </w:rPr>
              <w:t>业</w:t>
            </w:r>
          </w:p>
          <w:p>
            <w:pPr>
              <w:spacing w:before="78" w:line="244" w:lineRule="auto"/>
              <w:ind w:right="17"/>
              <w:jc w:val="center"/>
              <w:rPr>
                <w:rFonts w:ascii="宋体" w:hAnsi="宋体" w:cs="宋体"/>
                <w:color w:val="auto"/>
                <w:sz w:val="24"/>
                <w:szCs w:val="24"/>
                <w:highlight w:val="none"/>
              </w:rPr>
            </w:pPr>
            <w:r>
              <w:rPr>
                <w:rFonts w:hint="eastAsia" w:ascii="宋体" w:hAnsi="宋体" w:cs="宋体"/>
                <w:color w:val="auto"/>
                <w:sz w:val="24"/>
                <w:szCs w:val="24"/>
                <w:highlight w:val="none"/>
              </w:rPr>
              <w:t>绩</w:t>
            </w:r>
          </w:p>
          <w:p>
            <w:pPr>
              <w:spacing w:before="78" w:line="244" w:lineRule="auto"/>
              <w:ind w:right="17"/>
              <w:jc w:val="center"/>
              <w:rPr>
                <w:rFonts w:ascii="宋体" w:hAnsi="宋体" w:cs="宋体"/>
                <w:color w:val="auto"/>
                <w:sz w:val="24"/>
                <w:szCs w:val="24"/>
                <w:highlight w:val="none"/>
              </w:rPr>
            </w:pPr>
            <w:r>
              <w:rPr>
                <w:rFonts w:hint="eastAsia" w:ascii="宋体" w:hAnsi="宋体" w:cs="宋体"/>
                <w:color w:val="auto"/>
                <w:sz w:val="24"/>
                <w:szCs w:val="24"/>
                <w:highlight w:val="none"/>
              </w:rPr>
              <w:t>与</w:t>
            </w:r>
          </w:p>
          <w:p>
            <w:pPr>
              <w:spacing w:before="78" w:line="244" w:lineRule="auto"/>
              <w:ind w:right="17"/>
              <w:jc w:val="center"/>
              <w:rPr>
                <w:rFonts w:ascii="宋体" w:hAnsi="宋体" w:cs="宋体"/>
                <w:color w:val="auto"/>
                <w:sz w:val="24"/>
                <w:szCs w:val="24"/>
                <w:highlight w:val="none"/>
              </w:rPr>
            </w:pPr>
            <w:r>
              <w:rPr>
                <w:rFonts w:hint="eastAsia" w:ascii="宋体" w:hAnsi="宋体" w:cs="宋体"/>
                <w:color w:val="auto"/>
                <w:sz w:val="24"/>
                <w:szCs w:val="24"/>
                <w:highlight w:val="none"/>
              </w:rPr>
              <w:t>科</w:t>
            </w:r>
          </w:p>
          <w:p>
            <w:pPr>
              <w:spacing w:before="78" w:line="244" w:lineRule="auto"/>
              <w:ind w:right="17"/>
              <w:jc w:val="center"/>
              <w:rPr>
                <w:rFonts w:ascii="宋体" w:hAnsi="宋体" w:cs="宋体"/>
                <w:color w:val="auto"/>
                <w:sz w:val="24"/>
                <w:szCs w:val="24"/>
                <w:highlight w:val="none"/>
              </w:rPr>
            </w:pPr>
            <w:r>
              <w:rPr>
                <w:rFonts w:hint="eastAsia" w:ascii="宋体" w:hAnsi="宋体" w:cs="宋体"/>
                <w:color w:val="auto"/>
                <w:sz w:val="24"/>
                <w:szCs w:val="24"/>
                <w:highlight w:val="none"/>
              </w:rPr>
              <w:t>研</w:t>
            </w:r>
          </w:p>
          <w:p>
            <w:pPr>
              <w:spacing w:before="78" w:line="244" w:lineRule="auto"/>
              <w:ind w:right="17"/>
              <w:jc w:val="center"/>
              <w:rPr>
                <w:rFonts w:ascii="宋体" w:hAnsi="宋体" w:cs="宋体"/>
                <w:color w:val="auto"/>
                <w:sz w:val="24"/>
                <w:szCs w:val="24"/>
                <w:highlight w:val="none"/>
              </w:rPr>
            </w:pPr>
            <w:r>
              <w:rPr>
                <w:rFonts w:hint="eastAsia" w:ascii="宋体" w:hAnsi="宋体" w:cs="宋体"/>
                <w:color w:val="auto"/>
                <w:sz w:val="24"/>
                <w:szCs w:val="24"/>
                <w:highlight w:val="none"/>
              </w:rPr>
              <w:t>成</w:t>
            </w:r>
          </w:p>
          <w:p>
            <w:pPr>
              <w:spacing w:before="78" w:line="244" w:lineRule="auto"/>
              <w:ind w:right="17"/>
              <w:jc w:val="center"/>
              <w:rPr>
                <w:rFonts w:ascii="宋体" w:hAnsi="宋体" w:eastAsia="宋体" w:cs="宋体"/>
                <w:color w:val="auto"/>
                <w:sz w:val="28"/>
                <w:szCs w:val="28"/>
                <w:highlight w:val="none"/>
              </w:rPr>
            </w:pPr>
            <w:r>
              <w:rPr>
                <w:rFonts w:hint="eastAsia" w:ascii="宋体" w:hAnsi="宋体" w:cs="宋体"/>
                <w:color w:val="auto"/>
                <w:sz w:val="24"/>
                <w:szCs w:val="24"/>
                <w:highlight w:val="none"/>
              </w:rPr>
              <w:t>果</w:t>
            </w:r>
          </w:p>
        </w:tc>
        <w:tc>
          <w:tcPr>
            <w:tcW w:w="9067" w:type="dxa"/>
            <w:tcBorders>
              <w:top w:val="single" w:color="000000" w:sz="2" w:space="0"/>
              <w:bottom w:val="single" w:color="000000" w:sz="2" w:space="0"/>
            </w:tcBorders>
          </w:tcPr>
          <w:p>
            <w:pPr>
              <w:spacing w:before="101" w:line="230" w:lineRule="auto"/>
              <w:ind w:right="121"/>
              <w:rPr>
                <w:rFonts w:ascii="宋体" w:hAnsi="宋体" w:cs="宋体"/>
                <w:b/>
                <w:bCs/>
                <w:color w:val="auto"/>
                <w:sz w:val="24"/>
                <w:szCs w:val="24"/>
                <w:highlight w:val="none"/>
              </w:rPr>
            </w:pPr>
            <w:r>
              <w:rPr>
                <w:rFonts w:hint="eastAsia" w:ascii="宋体" w:hAnsi="宋体" w:cs="宋体"/>
                <w:b/>
                <w:bCs/>
                <w:color w:val="auto"/>
                <w:sz w:val="24"/>
                <w:szCs w:val="24"/>
                <w:highlight w:val="none"/>
              </w:rPr>
              <w:t>任现职以来，业绩与科研成果应具备下列条件的第①②条，并同时具备③至</w:t>
            </w:r>
            <w:r>
              <w:rPr>
                <w:rFonts w:hint="eastAsia" w:ascii="宋体" w:hAnsi="宋体" w:eastAsia="宋体" w:cs="宋体"/>
                <w:b/>
                <w:bCs/>
                <w:color w:val="auto"/>
                <w:sz w:val="24"/>
                <w:szCs w:val="24"/>
                <w:highlight w:val="none"/>
              </w:rPr>
              <w:t>⑧</w:t>
            </w:r>
            <w:r>
              <w:rPr>
                <w:rFonts w:hint="eastAsia" w:ascii="宋体" w:hAnsi="宋体" w:cs="宋体"/>
                <w:b/>
                <w:bCs/>
                <w:color w:val="auto"/>
                <w:sz w:val="24"/>
                <w:szCs w:val="24"/>
                <w:highlight w:val="none"/>
              </w:rPr>
              <w:t>条之一：</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①发表学术论文</w:t>
            </w:r>
            <w:r>
              <w:rPr>
                <w:rFonts w:hint="eastAsia" w:ascii="宋体" w:hAnsi="宋体" w:cs="宋体"/>
                <w:color w:val="auto"/>
                <w:highlight w:val="none"/>
              </w:rPr>
              <w:t>5</w:t>
            </w:r>
            <w:r>
              <w:rPr>
                <w:rFonts w:hint="eastAsia" w:ascii="宋体" w:hAnsi="宋体" w:cs="宋体"/>
                <w:color w:val="auto"/>
                <w:sz w:val="24"/>
                <w:szCs w:val="24"/>
                <w:highlight w:val="none"/>
              </w:rPr>
              <w:t>篇以上（须含教学研究论文</w:t>
            </w:r>
            <w:r>
              <w:rPr>
                <w:rFonts w:hint="eastAsia" w:ascii="宋体" w:hAnsi="宋体" w:cs="宋体"/>
                <w:color w:val="auto"/>
                <w:highlight w:val="none"/>
              </w:rPr>
              <w:t>2</w:t>
            </w:r>
            <w:r>
              <w:rPr>
                <w:rFonts w:hint="eastAsia" w:ascii="宋体" w:hAnsi="宋体" w:cs="宋体"/>
                <w:color w:val="auto"/>
                <w:sz w:val="24"/>
                <w:szCs w:val="24"/>
                <w:highlight w:val="none"/>
              </w:rPr>
              <w:t>篇以上），其中至少</w:t>
            </w:r>
            <w:r>
              <w:rPr>
                <w:rFonts w:hint="eastAsia" w:ascii="宋体" w:hAnsi="宋体" w:cs="宋体"/>
                <w:color w:val="auto"/>
                <w:highlight w:val="none"/>
              </w:rPr>
              <w:t>3</w:t>
            </w:r>
            <w:r>
              <w:rPr>
                <w:rFonts w:hint="eastAsia" w:ascii="宋体" w:hAnsi="宋体" w:cs="宋体"/>
                <w:color w:val="auto"/>
                <w:sz w:val="24"/>
                <w:szCs w:val="24"/>
                <w:highlight w:val="none"/>
              </w:rPr>
              <w:t>篇（外语、音乐、美术专业至少</w:t>
            </w:r>
            <w:r>
              <w:rPr>
                <w:rFonts w:hint="eastAsia" w:ascii="宋体" w:hAnsi="宋体" w:cs="宋体"/>
                <w:color w:val="auto"/>
                <w:highlight w:val="none"/>
              </w:rPr>
              <w:t>2</w:t>
            </w:r>
            <w:r>
              <w:rPr>
                <w:rFonts w:hint="eastAsia" w:ascii="宋体" w:hAnsi="宋体" w:cs="宋体"/>
                <w:color w:val="auto"/>
                <w:sz w:val="24"/>
                <w:szCs w:val="24"/>
                <w:highlight w:val="none"/>
              </w:rPr>
              <w:t>篇）发表在国内核心期刊上或被国外权威期刊收录；或发表学术论文</w:t>
            </w:r>
            <w:r>
              <w:rPr>
                <w:rFonts w:hint="eastAsia" w:ascii="宋体" w:hAnsi="宋体" w:cs="宋体"/>
                <w:color w:val="auto"/>
                <w:highlight w:val="none"/>
              </w:rPr>
              <w:t>2</w:t>
            </w:r>
            <w:r>
              <w:rPr>
                <w:rFonts w:hint="eastAsia" w:ascii="宋体" w:hAnsi="宋体" w:cs="宋体"/>
                <w:color w:val="auto"/>
                <w:sz w:val="24"/>
                <w:szCs w:val="24"/>
                <w:highlight w:val="none"/>
              </w:rPr>
              <w:t>篇以上（须含教学研究论文</w:t>
            </w:r>
            <w:r>
              <w:rPr>
                <w:rFonts w:hint="eastAsia" w:ascii="宋体" w:hAnsi="宋体" w:cs="宋体"/>
                <w:color w:val="auto"/>
                <w:highlight w:val="none"/>
              </w:rPr>
              <w:t>1</w:t>
            </w:r>
            <w:r>
              <w:rPr>
                <w:rFonts w:hint="eastAsia" w:ascii="宋体" w:hAnsi="宋体" w:cs="宋体"/>
                <w:color w:val="auto"/>
                <w:sz w:val="24"/>
                <w:szCs w:val="24"/>
                <w:highlight w:val="none"/>
              </w:rPr>
              <w:t>篇以上），</w:t>
            </w:r>
            <w:r>
              <w:rPr>
                <w:rFonts w:hint="eastAsia" w:ascii="宋体" w:hAnsi="宋体" w:eastAsia="宋体" w:cs="宋体"/>
                <w:color w:val="auto"/>
                <w:sz w:val="24"/>
                <w:szCs w:val="24"/>
                <w:highlight w:val="none"/>
              </w:rPr>
              <w:t>其中至少1篇</w:t>
            </w:r>
            <w:r>
              <w:rPr>
                <w:rFonts w:hint="eastAsia" w:ascii="宋体" w:hAnsi="宋体" w:cs="宋体"/>
                <w:color w:val="auto"/>
                <w:sz w:val="24"/>
                <w:szCs w:val="24"/>
                <w:highlight w:val="none"/>
              </w:rPr>
              <w:t>发表在国内核心期刊上或被国外权威期刊收录</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rPr>
              <w:t>且出版学术著作</w:t>
            </w:r>
            <w:r>
              <w:rPr>
                <w:rFonts w:hint="eastAsia" w:ascii="宋体" w:hAnsi="宋体" w:cs="宋体"/>
                <w:color w:val="auto"/>
                <w:highlight w:val="none"/>
              </w:rPr>
              <w:t>1</w:t>
            </w:r>
            <w:r>
              <w:rPr>
                <w:rFonts w:hint="eastAsia" w:ascii="宋体" w:hAnsi="宋体" w:cs="宋体"/>
                <w:color w:val="auto"/>
                <w:sz w:val="24"/>
                <w:szCs w:val="24"/>
                <w:highlight w:val="none"/>
              </w:rPr>
              <w:t>部。</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②参与国家级教研项目</w:t>
            </w:r>
            <w:r>
              <w:rPr>
                <w:rFonts w:hint="eastAsia" w:ascii="宋体" w:hAnsi="宋体" w:cs="宋体"/>
                <w:color w:val="auto"/>
                <w:highlight w:val="none"/>
              </w:rPr>
              <w:t>1</w:t>
            </w:r>
            <w:r>
              <w:rPr>
                <w:rFonts w:hint="eastAsia" w:ascii="宋体" w:hAnsi="宋体" w:cs="宋体"/>
                <w:color w:val="auto"/>
                <w:sz w:val="24"/>
                <w:szCs w:val="24"/>
                <w:highlight w:val="none"/>
              </w:rPr>
              <w:t>项（限前</w:t>
            </w:r>
            <w:r>
              <w:rPr>
                <w:rFonts w:hint="eastAsia" w:ascii="宋体" w:hAnsi="宋体" w:eastAsia="宋体" w:cs="宋体"/>
                <w:color w:val="auto"/>
                <w:sz w:val="24"/>
                <w:szCs w:val="24"/>
                <w:highlight w:val="none"/>
                <w:lang w:val="en-US" w:eastAsia="zh-CN"/>
              </w:rPr>
              <w:t>5</w:t>
            </w:r>
            <w:r>
              <w:rPr>
                <w:rFonts w:hint="eastAsia" w:ascii="宋体" w:hAnsi="宋体" w:cs="宋体"/>
                <w:color w:val="auto"/>
                <w:sz w:val="24"/>
                <w:szCs w:val="24"/>
                <w:highlight w:val="none"/>
              </w:rPr>
              <w:t>名）；或主持完成省级教研项目</w:t>
            </w:r>
            <w:r>
              <w:rPr>
                <w:rFonts w:hint="eastAsia" w:ascii="宋体" w:hAnsi="宋体" w:cs="宋体"/>
                <w:color w:val="auto"/>
                <w:highlight w:val="none"/>
              </w:rPr>
              <w:t>1</w:t>
            </w:r>
            <w:r>
              <w:rPr>
                <w:rFonts w:hint="eastAsia" w:ascii="宋体" w:hAnsi="宋体" w:cs="宋体"/>
                <w:color w:val="auto"/>
                <w:sz w:val="24"/>
                <w:szCs w:val="24"/>
                <w:highlight w:val="none"/>
              </w:rPr>
              <w:t>项。</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③获国家级教学成果奖</w:t>
            </w:r>
            <w:r>
              <w:rPr>
                <w:rFonts w:hint="eastAsia" w:ascii="宋体" w:hAnsi="宋体" w:cs="宋体"/>
                <w:color w:val="auto"/>
                <w:highlight w:val="none"/>
              </w:rPr>
              <w:t>1</w:t>
            </w:r>
            <w:r>
              <w:rPr>
                <w:rFonts w:hint="eastAsia" w:ascii="宋体" w:hAnsi="宋体" w:cs="宋体"/>
                <w:color w:val="auto"/>
                <w:sz w:val="24"/>
                <w:szCs w:val="24"/>
                <w:highlight w:val="none"/>
              </w:rPr>
              <w:t>项（限前</w:t>
            </w:r>
            <w:r>
              <w:rPr>
                <w:rFonts w:hint="eastAsia" w:ascii="宋体" w:hAnsi="宋体" w:eastAsia="宋体" w:cs="宋体"/>
                <w:color w:val="auto"/>
                <w:sz w:val="24"/>
                <w:szCs w:val="24"/>
                <w:highlight w:val="none"/>
                <w:lang w:val="en-US" w:eastAsia="zh-CN"/>
              </w:rPr>
              <w:t>8</w:t>
            </w:r>
            <w:r>
              <w:rPr>
                <w:rFonts w:hint="eastAsia" w:ascii="宋体" w:hAnsi="宋体" w:cs="宋体"/>
                <w:color w:val="auto"/>
                <w:sz w:val="24"/>
                <w:szCs w:val="24"/>
                <w:highlight w:val="none"/>
              </w:rPr>
              <w:t>名）；</w:t>
            </w:r>
            <w:r>
              <w:rPr>
                <w:rFonts w:hint="eastAsia" w:ascii="宋体" w:hAnsi="宋体" w:eastAsia="宋体" w:cs="宋体"/>
                <w:color w:val="auto"/>
                <w:sz w:val="24"/>
                <w:szCs w:val="24"/>
                <w:highlight w:val="none"/>
                <w:lang w:val="en-US" w:eastAsia="zh-CN"/>
              </w:rPr>
              <w:t>或获省（部）级二等以上教学成果奖1项（二等奖限前3）</w:t>
            </w:r>
            <w:r>
              <w:rPr>
                <w:rFonts w:hint="eastAsia" w:ascii="宋体" w:hAnsi="宋体" w:cs="宋体"/>
                <w:color w:val="auto"/>
                <w:sz w:val="24"/>
                <w:szCs w:val="24"/>
                <w:highlight w:val="none"/>
              </w:rPr>
              <w:t>或主持完成省（部）级</w:t>
            </w:r>
            <w:r>
              <w:rPr>
                <w:rFonts w:hint="eastAsia" w:ascii="宋体" w:hAnsi="宋体" w:eastAsia="宋体" w:cs="宋体"/>
                <w:color w:val="auto"/>
                <w:sz w:val="24"/>
                <w:szCs w:val="24"/>
                <w:highlight w:val="none"/>
                <w:lang w:val="en-US" w:eastAsia="zh-CN"/>
              </w:rPr>
              <w:t>三</w:t>
            </w:r>
            <w:r>
              <w:rPr>
                <w:rFonts w:hint="eastAsia" w:ascii="宋体" w:hAnsi="宋体" w:cs="宋体"/>
                <w:color w:val="auto"/>
                <w:sz w:val="24"/>
                <w:szCs w:val="24"/>
                <w:highlight w:val="none"/>
              </w:rPr>
              <w:t>等教学成果奖</w:t>
            </w:r>
            <w:r>
              <w:rPr>
                <w:rFonts w:hint="eastAsia" w:ascii="宋体" w:hAnsi="宋体" w:cs="宋体"/>
                <w:color w:val="auto"/>
                <w:highlight w:val="none"/>
              </w:rPr>
              <w:t>1</w:t>
            </w:r>
            <w:r>
              <w:rPr>
                <w:rFonts w:hint="eastAsia" w:ascii="宋体" w:hAnsi="宋体" w:cs="宋体"/>
                <w:color w:val="auto"/>
                <w:sz w:val="24"/>
                <w:szCs w:val="24"/>
                <w:highlight w:val="none"/>
              </w:rPr>
              <w:t>项。</w:t>
            </w:r>
          </w:p>
          <w:p>
            <w:pPr>
              <w:spacing w:line="360" w:lineRule="exact"/>
              <w:rPr>
                <w:rFonts w:ascii="宋体" w:hAnsi="宋体" w:eastAsia="宋体" w:cs="宋体"/>
                <w:color w:val="auto"/>
                <w:highlight w:val="none"/>
              </w:rPr>
            </w:pPr>
            <w:r>
              <w:rPr>
                <w:rFonts w:hint="eastAsia" w:ascii="宋体" w:hAnsi="宋体" w:cs="宋体"/>
                <w:color w:val="auto"/>
                <w:sz w:val="24"/>
                <w:szCs w:val="24"/>
                <w:highlight w:val="none"/>
              </w:rPr>
              <w:t>④国家级教学质量工程项目的主要完成人（限前</w:t>
            </w:r>
            <w:r>
              <w:rPr>
                <w:rFonts w:hint="eastAsia" w:ascii="宋体" w:hAnsi="宋体" w:eastAsia="宋体" w:cs="宋体"/>
                <w:color w:val="auto"/>
                <w:sz w:val="24"/>
                <w:szCs w:val="24"/>
                <w:highlight w:val="none"/>
                <w:lang w:val="en-US" w:eastAsia="zh-CN"/>
              </w:rPr>
              <w:t>5</w:t>
            </w:r>
            <w:r>
              <w:rPr>
                <w:rFonts w:hint="eastAsia" w:ascii="宋体" w:hAnsi="宋体" w:cs="宋体"/>
                <w:color w:val="auto"/>
                <w:sz w:val="24"/>
                <w:szCs w:val="24"/>
                <w:highlight w:val="none"/>
              </w:rPr>
              <w:t>名）；主持完成省级教学质量工程项目</w:t>
            </w:r>
            <w:r>
              <w:rPr>
                <w:rFonts w:hint="eastAsia" w:ascii="宋体" w:hAnsi="宋体" w:eastAsia="宋体" w:cs="宋体"/>
                <w:color w:val="auto"/>
                <w:sz w:val="24"/>
                <w:szCs w:val="24"/>
                <w:highlight w:val="none"/>
              </w:rPr>
              <w:t>。</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⑤获省级以上教学竞赛二等奖以上</w:t>
            </w:r>
            <w:r>
              <w:rPr>
                <w:rFonts w:hint="eastAsia" w:ascii="宋体" w:hAnsi="宋体" w:cs="宋体"/>
                <w:color w:val="auto"/>
                <w:highlight w:val="none"/>
              </w:rPr>
              <w:t>1</w:t>
            </w:r>
            <w:r>
              <w:rPr>
                <w:rFonts w:hint="eastAsia" w:ascii="宋体" w:hAnsi="宋体" w:cs="宋体"/>
                <w:color w:val="auto"/>
                <w:sz w:val="24"/>
                <w:szCs w:val="24"/>
                <w:highlight w:val="none"/>
              </w:rPr>
              <w:t>项。</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⑥指导学生参加专业竞赛获国家级奖励，或省部级一等奖</w:t>
            </w:r>
            <w:r>
              <w:rPr>
                <w:rFonts w:hint="eastAsia" w:ascii="宋体" w:hAnsi="宋体" w:cs="宋体"/>
                <w:color w:val="auto"/>
                <w:highlight w:val="none"/>
              </w:rPr>
              <w:t>1</w:t>
            </w:r>
            <w:r>
              <w:rPr>
                <w:rFonts w:hint="eastAsia" w:ascii="宋体" w:hAnsi="宋体" w:cs="宋体"/>
                <w:color w:val="auto"/>
                <w:sz w:val="24"/>
                <w:szCs w:val="24"/>
                <w:highlight w:val="none"/>
              </w:rPr>
              <w:t>项或二等奖</w:t>
            </w:r>
            <w:r>
              <w:rPr>
                <w:rFonts w:hint="eastAsia" w:ascii="宋体" w:hAnsi="宋体" w:cs="宋体"/>
                <w:color w:val="auto"/>
                <w:highlight w:val="none"/>
              </w:rPr>
              <w:t>2</w:t>
            </w:r>
            <w:r>
              <w:rPr>
                <w:rFonts w:hint="eastAsia" w:ascii="宋体" w:hAnsi="宋体" w:cs="宋体"/>
                <w:color w:val="auto"/>
                <w:sz w:val="24"/>
                <w:szCs w:val="24"/>
                <w:highlight w:val="none"/>
              </w:rPr>
              <w:t>项（均为第一指导教师）。</w:t>
            </w:r>
          </w:p>
          <w:p>
            <w:pPr>
              <w:spacing w:line="360" w:lineRule="exact"/>
              <w:rPr>
                <w:rFonts w:ascii="宋体" w:hAnsi="宋体" w:eastAsia="宋体" w:cs="宋体"/>
                <w:color w:val="auto"/>
                <w:sz w:val="24"/>
                <w:szCs w:val="24"/>
                <w:highlight w:val="none"/>
              </w:rPr>
            </w:pPr>
            <w:r>
              <w:rPr>
                <w:rFonts w:hint="eastAsia" w:ascii="宋体" w:hAnsi="宋体" w:cs="宋体"/>
                <w:color w:val="auto"/>
                <w:sz w:val="24"/>
                <w:szCs w:val="24"/>
                <w:highlight w:val="none"/>
              </w:rPr>
              <w:t>⑦</w:t>
            </w:r>
            <w:r>
              <w:rPr>
                <w:rFonts w:hint="eastAsia" w:ascii="宋体" w:hAnsi="宋体" w:eastAsia="宋体" w:cs="宋体"/>
                <w:color w:val="auto"/>
                <w:sz w:val="24"/>
                <w:szCs w:val="24"/>
                <w:highlight w:val="none"/>
              </w:rPr>
              <w:t>理工科类：主持横向课题单项到账经费3</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 xml:space="preserve">万元以上，或累计到账经费70万元以上； </w:t>
            </w:r>
          </w:p>
          <w:p>
            <w:pPr>
              <w:spacing w:line="360"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人文社科类：主持横向课题单项到账经费2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万元以上，或累计到账经费50万元以上。</w:t>
            </w:r>
          </w:p>
          <w:p>
            <w:pPr>
              <w:spacing w:line="360" w:lineRule="exact"/>
              <w:rPr>
                <w:rFonts w:ascii="宋体" w:hAnsi="宋体" w:eastAsia="宋体" w:cs="宋体"/>
                <w:color w:val="auto"/>
                <w:spacing w:val="1"/>
                <w:sz w:val="28"/>
                <w:szCs w:val="28"/>
                <w:highlight w:val="none"/>
              </w:rPr>
            </w:pPr>
            <w:r>
              <w:rPr>
                <w:rFonts w:hint="eastAsia" w:ascii="宋体" w:hAnsi="宋体" w:eastAsia="宋体" w:cs="宋体"/>
                <w:color w:val="auto"/>
                <w:sz w:val="24"/>
                <w:szCs w:val="24"/>
                <w:highlight w:val="none"/>
              </w:rPr>
              <w:t>⑧作为第一发明人获得国家发明专利</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项，或获得软件著作权3项，实现专利成果转化产生经济效益或转化成果收益40万元以上。</w:t>
            </w:r>
          </w:p>
        </w:tc>
      </w:tr>
    </w:tbl>
    <w:tbl>
      <w:tblPr>
        <w:tblStyle w:val="10"/>
        <w:tblpPr w:leftFromText="180" w:rightFromText="180" w:vertAnchor="text" w:horzAnchor="page" w:tblpX="1321" w:tblpY="1347"/>
        <w:tblOverlap w:val="never"/>
        <w:tblW w:w="1010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7"/>
        <w:gridCol w:w="300"/>
        <w:gridCol w:w="93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7" w:type="dxa"/>
            <w:vMerge w:val="restart"/>
            <w:tcBorders>
              <w:top w:val="single" w:color="000000" w:sz="2" w:space="0"/>
              <w:left w:val="single" w:color="auto" w:sz="4" w:space="0"/>
              <w:bottom w:val="single" w:color="auto" w:sz="4" w:space="0"/>
            </w:tcBorders>
          </w:tcPr>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before="78" w:line="217" w:lineRule="auto"/>
              <w:jc w:val="center"/>
              <w:rPr>
                <w:rFonts w:ascii="宋体" w:hAnsi="宋体" w:eastAsia="宋体" w:cs="宋体"/>
                <w:b/>
                <w:bCs/>
                <w:color w:val="auto"/>
                <w:spacing w:val="-4"/>
                <w:sz w:val="28"/>
                <w:szCs w:val="28"/>
                <w:highlight w:val="none"/>
              </w:rPr>
            </w:pPr>
          </w:p>
          <w:p>
            <w:pPr>
              <w:spacing w:before="78" w:line="217" w:lineRule="auto"/>
              <w:jc w:val="center"/>
              <w:rPr>
                <w:rFonts w:ascii="宋体" w:hAnsi="宋体" w:eastAsia="宋体" w:cs="宋体"/>
                <w:color w:val="auto"/>
                <w:sz w:val="28"/>
                <w:szCs w:val="28"/>
                <w:highlight w:val="none"/>
              </w:rPr>
            </w:pPr>
            <w:r>
              <w:rPr>
                <w:rFonts w:ascii="宋体" w:hAnsi="宋体" w:eastAsia="宋体" w:cs="宋体"/>
                <w:b/>
                <w:bCs/>
                <w:color w:val="auto"/>
                <w:spacing w:val="-4"/>
                <w:sz w:val="28"/>
                <w:szCs w:val="28"/>
                <w:highlight w:val="none"/>
              </w:rPr>
              <w:t>教学</w:t>
            </w:r>
            <w:r>
              <w:rPr>
                <w:rFonts w:hint="eastAsia" w:ascii="宋体" w:hAnsi="宋体" w:eastAsia="宋体" w:cs="宋体"/>
                <w:b/>
                <w:bCs/>
                <w:color w:val="auto"/>
                <w:spacing w:val="-4"/>
                <w:sz w:val="28"/>
                <w:szCs w:val="28"/>
                <w:highlight w:val="none"/>
              </w:rPr>
              <w:t>科研并重</w:t>
            </w:r>
            <w:r>
              <w:rPr>
                <w:rFonts w:ascii="宋体" w:hAnsi="宋体" w:eastAsia="宋体" w:cs="宋体"/>
                <w:b/>
                <w:bCs/>
                <w:color w:val="auto"/>
                <w:spacing w:val="-4"/>
                <w:sz w:val="28"/>
                <w:szCs w:val="28"/>
                <w:highlight w:val="none"/>
              </w:rPr>
              <w:t>型教授</w:t>
            </w:r>
          </w:p>
        </w:tc>
        <w:tc>
          <w:tcPr>
            <w:tcW w:w="300" w:type="dxa"/>
            <w:tcBorders>
              <w:top w:val="single" w:color="000000" w:sz="2" w:space="0"/>
              <w:bottom w:val="single" w:color="auto" w:sz="4" w:space="0"/>
            </w:tcBorders>
          </w:tcPr>
          <w:p>
            <w:pPr>
              <w:spacing w:line="249" w:lineRule="auto"/>
              <w:jc w:val="center"/>
              <w:rPr>
                <w:color w:val="auto"/>
                <w:sz w:val="28"/>
                <w:szCs w:val="28"/>
                <w:highlight w:val="none"/>
              </w:rPr>
            </w:pPr>
          </w:p>
          <w:p>
            <w:pPr>
              <w:spacing w:line="249" w:lineRule="auto"/>
              <w:jc w:val="center"/>
              <w:rPr>
                <w:color w:val="auto"/>
                <w:sz w:val="28"/>
                <w:szCs w:val="28"/>
                <w:highlight w:val="none"/>
              </w:rPr>
            </w:pPr>
          </w:p>
          <w:p>
            <w:pPr>
              <w:spacing w:line="250" w:lineRule="auto"/>
              <w:jc w:val="center"/>
              <w:rPr>
                <w:color w:val="auto"/>
                <w:sz w:val="28"/>
                <w:szCs w:val="28"/>
                <w:highlight w:val="none"/>
              </w:rPr>
            </w:pPr>
          </w:p>
          <w:p>
            <w:pPr>
              <w:spacing w:line="250" w:lineRule="auto"/>
              <w:jc w:val="center"/>
              <w:rPr>
                <w:color w:val="auto"/>
                <w:sz w:val="28"/>
                <w:szCs w:val="28"/>
                <w:highlight w:val="none"/>
              </w:rPr>
            </w:pPr>
          </w:p>
          <w:p>
            <w:pPr>
              <w:spacing w:before="78" w:line="255" w:lineRule="auto"/>
              <w:ind w:right="146"/>
              <w:jc w:val="center"/>
              <w:rPr>
                <w:rFonts w:ascii="宋体" w:hAnsi="宋体" w:eastAsia="宋体" w:cs="宋体"/>
                <w:color w:val="auto"/>
                <w:sz w:val="28"/>
                <w:szCs w:val="28"/>
                <w:highlight w:val="none"/>
              </w:rPr>
            </w:pPr>
            <w:r>
              <w:rPr>
                <w:rFonts w:hint="eastAsia" w:ascii="宋体" w:hAnsi="宋体" w:cs="宋体"/>
                <w:color w:val="auto"/>
                <w:sz w:val="24"/>
                <w:szCs w:val="24"/>
                <w:highlight w:val="none"/>
              </w:rPr>
              <w:t>专业工作能力</w:t>
            </w:r>
          </w:p>
        </w:tc>
        <w:tc>
          <w:tcPr>
            <w:tcW w:w="9360" w:type="dxa"/>
            <w:tcBorders>
              <w:top w:val="single" w:color="000000" w:sz="2" w:space="0"/>
              <w:bottom w:val="single" w:color="auto" w:sz="4" w:space="0"/>
            </w:tcBorders>
          </w:tcPr>
          <w:p>
            <w:pPr>
              <w:spacing w:line="360" w:lineRule="exact"/>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任现职以来,专业工作能力应具备下列条件中的①至⑧条,专职辅导员只需具备第⑨条：</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①任现职近</w:t>
            </w:r>
            <w:r>
              <w:rPr>
                <w:rFonts w:hint="eastAsia" w:ascii="宋体" w:hAnsi="宋体" w:cs="宋体"/>
                <w:color w:val="auto"/>
                <w:highlight w:val="none"/>
              </w:rPr>
              <w:t>5</w:t>
            </w:r>
            <w:r>
              <w:rPr>
                <w:rFonts w:hint="eastAsia" w:ascii="宋体" w:hAnsi="宋体" w:cs="宋体"/>
                <w:color w:val="auto"/>
                <w:sz w:val="24"/>
                <w:szCs w:val="24"/>
                <w:highlight w:val="none"/>
              </w:rPr>
              <w:t>年来系统担任过</w:t>
            </w:r>
            <w:r>
              <w:rPr>
                <w:rFonts w:hint="eastAsia" w:ascii="宋体" w:hAnsi="宋体" w:cs="宋体"/>
                <w:color w:val="auto"/>
                <w:highlight w:val="none"/>
              </w:rPr>
              <w:t>2</w:t>
            </w:r>
            <w:r>
              <w:rPr>
                <w:rFonts w:hint="eastAsia" w:ascii="宋体" w:hAnsi="宋体" w:cs="宋体"/>
                <w:color w:val="auto"/>
                <w:sz w:val="24"/>
                <w:szCs w:val="24"/>
                <w:highlight w:val="none"/>
              </w:rPr>
              <w:t>门以上主干课程的讲授工作，其中每学年至少承担</w:t>
            </w:r>
            <w:r>
              <w:rPr>
                <w:rFonts w:hint="eastAsia" w:ascii="宋体" w:hAnsi="宋体" w:cs="宋体"/>
                <w:color w:val="auto"/>
                <w:highlight w:val="none"/>
              </w:rPr>
              <w:t>1</w:t>
            </w:r>
            <w:r>
              <w:rPr>
                <w:rFonts w:hint="eastAsia" w:ascii="宋体" w:hAnsi="宋体" w:cs="宋体"/>
                <w:color w:val="auto"/>
                <w:sz w:val="24"/>
                <w:szCs w:val="24"/>
                <w:highlight w:val="none"/>
              </w:rPr>
              <w:t>门全日制普通本科生课程的讲授工作，完成学校规定的教学、科研等工作任务。将思想政治教育</w:t>
            </w:r>
            <w:r>
              <w:rPr>
                <w:rFonts w:hint="eastAsia" w:ascii="宋体" w:hAnsi="宋体" w:eastAsia="宋体" w:cs="宋体"/>
                <w:color w:val="auto"/>
                <w:sz w:val="24"/>
                <w:szCs w:val="24"/>
                <w:highlight w:val="none"/>
              </w:rPr>
              <w:t>有效</w:t>
            </w:r>
            <w:r>
              <w:rPr>
                <w:rFonts w:hint="eastAsia" w:ascii="宋体" w:hAnsi="宋体" w:cs="宋体"/>
                <w:color w:val="auto"/>
                <w:sz w:val="24"/>
                <w:szCs w:val="24"/>
                <w:highlight w:val="none"/>
              </w:rPr>
              <w:t>融入教学，在学生培养工作中做出</w:t>
            </w:r>
            <w:r>
              <w:rPr>
                <w:rFonts w:hint="eastAsia" w:ascii="宋体" w:hAnsi="宋体" w:eastAsia="宋体" w:cs="宋体"/>
                <w:color w:val="auto"/>
                <w:sz w:val="24"/>
                <w:szCs w:val="24"/>
                <w:highlight w:val="none"/>
              </w:rPr>
              <w:t>突出</w:t>
            </w:r>
            <w:r>
              <w:rPr>
                <w:rFonts w:hint="eastAsia" w:ascii="宋体" w:hAnsi="宋体" w:cs="宋体"/>
                <w:color w:val="auto"/>
                <w:sz w:val="24"/>
                <w:szCs w:val="24"/>
                <w:highlight w:val="none"/>
              </w:rPr>
              <w:t>贡献。</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②年均教学工作量不少于</w:t>
            </w:r>
            <w:r>
              <w:rPr>
                <w:rFonts w:hint="eastAsia" w:ascii="宋体" w:hAnsi="宋体" w:eastAsia="宋体" w:cs="宋体"/>
                <w:color w:val="auto"/>
                <w:highlight w:val="none"/>
              </w:rPr>
              <w:t>320</w:t>
            </w:r>
            <w:r>
              <w:rPr>
                <w:rFonts w:hint="eastAsia" w:ascii="宋体" w:hAnsi="宋体" w:eastAsia="宋体" w:cs="宋体"/>
                <w:color w:val="auto"/>
                <w:sz w:val="24"/>
                <w:szCs w:val="24"/>
                <w:highlight w:val="none"/>
              </w:rPr>
              <w:t>标时</w:t>
            </w:r>
            <w:r>
              <w:rPr>
                <w:rFonts w:hint="eastAsia" w:ascii="宋体" w:hAnsi="宋体" w:cs="宋体"/>
                <w:color w:val="auto"/>
                <w:sz w:val="24"/>
                <w:szCs w:val="24"/>
                <w:highlight w:val="none"/>
              </w:rPr>
              <w:t>（其中课堂教学工作量不少于</w:t>
            </w:r>
            <w:r>
              <w:rPr>
                <w:rFonts w:hint="eastAsia" w:ascii="宋体" w:hAnsi="宋体" w:eastAsia="宋体" w:cs="宋体"/>
                <w:color w:val="auto"/>
                <w:highlight w:val="none"/>
              </w:rPr>
              <w:t>256</w:t>
            </w:r>
            <w:r>
              <w:rPr>
                <w:rFonts w:hint="eastAsia" w:ascii="宋体" w:hAnsi="宋体" w:eastAsia="宋体" w:cs="宋体"/>
                <w:color w:val="auto"/>
                <w:sz w:val="24"/>
                <w:szCs w:val="24"/>
                <w:highlight w:val="none"/>
              </w:rPr>
              <w:t>标时</w:t>
            </w:r>
            <w:r>
              <w:rPr>
                <w:rFonts w:hint="eastAsia" w:ascii="宋体" w:hAnsi="宋体" w:cs="宋体"/>
                <w:color w:val="auto"/>
                <w:sz w:val="24"/>
                <w:szCs w:val="24"/>
                <w:highlight w:val="none"/>
              </w:rPr>
              <w:t>）。</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③任现职以来年度教学质量考核均为合格以上，近五年来须获学校年度教学质量考核优秀1次以上。</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④组织课堂讨论、指导实习实训、社会调查及指导毕业论文、毕业设计等各个教学环节的工作。治学严谨，教学经验丰富，教学效果好。</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⑤指导过2名以上访问学者、青年教师、进修教师学习并取得较好效果。</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⑥主持或积极参与学院、系学科专业建设、人才培养方案制定、专业评估、产业学院建设、实验室建设等各项院系公共工作。</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⑦经学校认定的“双师型”教师或在国家机关、企事业单位、基层挂职工作6个月以上并产生较好的社会经济效益或取得突出成绩的。</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⑧参与校</w:t>
            </w:r>
            <w:r>
              <w:rPr>
                <w:rFonts w:hint="eastAsia" w:ascii="宋体" w:hAnsi="宋体" w:cs="宋体"/>
                <w:color w:val="auto"/>
                <w:sz w:val="24"/>
                <w:szCs w:val="24"/>
                <w:highlight w:val="none"/>
                <w:lang w:val="en-US" w:eastAsia="zh-CN"/>
              </w:rPr>
              <w:t>级以上单位</w:t>
            </w:r>
            <w:r>
              <w:rPr>
                <w:rFonts w:hint="eastAsia" w:ascii="宋体" w:hAnsi="宋体" w:cs="宋体"/>
                <w:color w:val="auto"/>
                <w:sz w:val="24"/>
                <w:szCs w:val="24"/>
                <w:highlight w:val="none"/>
              </w:rPr>
              <w:t>组织的各类竞赛</w:t>
            </w:r>
            <w:r>
              <w:rPr>
                <w:rFonts w:hint="eastAsia" w:ascii="宋体" w:hAnsi="宋体" w:cs="宋体"/>
                <w:color w:val="auto"/>
                <w:sz w:val="24"/>
                <w:szCs w:val="24"/>
                <w:highlight w:val="none"/>
                <w:lang w:val="en-US" w:eastAsia="zh-CN"/>
              </w:rPr>
              <w:t>一次以上</w:t>
            </w:r>
            <w:r>
              <w:rPr>
                <w:rFonts w:hint="eastAsia" w:ascii="宋体" w:hAnsi="宋体" w:cs="宋体"/>
                <w:color w:val="auto"/>
                <w:sz w:val="24"/>
                <w:szCs w:val="24"/>
                <w:highlight w:val="none"/>
              </w:rPr>
              <w:t>。</w:t>
            </w:r>
          </w:p>
          <w:p>
            <w:pPr>
              <w:spacing w:line="360" w:lineRule="exact"/>
              <w:rPr>
                <w:rFonts w:ascii="宋体" w:hAnsi="宋体" w:eastAsia="宋体" w:cs="宋体"/>
                <w:color w:val="auto"/>
                <w:sz w:val="24"/>
                <w:szCs w:val="24"/>
                <w:highlight w:val="none"/>
              </w:rPr>
            </w:pPr>
            <w:r>
              <w:rPr>
                <w:rFonts w:hint="eastAsia" w:ascii="宋体" w:hAnsi="宋体" w:cs="宋体"/>
                <w:color w:val="auto"/>
                <w:sz w:val="24"/>
                <w:szCs w:val="24"/>
                <w:highlight w:val="none"/>
              </w:rPr>
              <w:t>⑨专职学生辅导员指导学生就业和参与组织省（部）级以上学生思想政治教育活动，并取得良好效果；独立讲授2门以上相关思想政治教育课或专业课，年均教学工作量不少于64标时；指导青年辅导员工作2年以上，并取得良好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7" w:type="dxa"/>
            <w:vMerge w:val="continue"/>
            <w:tcBorders>
              <w:top w:val="single" w:color="auto" w:sz="4" w:space="0"/>
              <w:left w:val="single" w:color="auto" w:sz="4" w:space="0"/>
              <w:bottom w:val="single" w:color="auto" w:sz="4" w:space="0"/>
              <w:right w:val="single" w:color="auto" w:sz="4" w:space="0"/>
            </w:tcBorders>
          </w:tcPr>
          <w:p>
            <w:pPr>
              <w:jc w:val="center"/>
              <w:rPr>
                <w:color w:val="auto"/>
                <w:sz w:val="28"/>
                <w:szCs w:val="28"/>
                <w:highlight w:val="none"/>
              </w:rPr>
            </w:pPr>
          </w:p>
        </w:tc>
        <w:tc>
          <w:tcPr>
            <w:tcW w:w="300" w:type="dxa"/>
            <w:tcBorders>
              <w:top w:val="single" w:color="auto" w:sz="4" w:space="0"/>
              <w:left w:val="single" w:color="auto" w:sz="4" w:space="0"/>
              <w:bottom w:val="single" w:color="auto" w:sz="4" w:space="0"/>
              <w:right w:val="single" w:color="auto" w:sz="4" w:space="0"/>
            </w:tcBorders>
          </w:tcPr>
          <w:p>
            <w:pPr>
              <w:spacing w:line="259" w:lineRule="auto"/>
              <w:jc w:val="center"/>
              <w:rPr>
                <w:color w:val="auto"/>
                <w:sz w:val="28"/>
                <w:szCs w:val="28"/>
                <w:highlight w:val="none"/>
              </w:rPr>
            </w:pPr>
          </w:p>
          <w:p>
            <w:pPr>
              <w:spacing w:line="260" w:lineRule="auto"/>
              <w:jc w:val="center"/>
              <w:rPr>
                <w:color w:val="auto"/>
                <w:sz w:val="28"/>
                <w:szCs w:val="28"/>
                <w:highlight w:val="none"/>
              </w:rPr>
            </w:pPr>
          </w:p>
          <w:p>
            <w:pPr>
              <w:spacing w:line="260" w:lineRule="auto"/>
              <w:jc w:val="center"/>
              <w:rPr>
                <w:color w:val="auto"/>
                <w:sz w:val="28"/>
                <w:szCs w:val="28"/>
                <w:highlight w:val="none"/>
              </w:rPr>
            </w:pPr>
          </w:p>
          <w:p>
            <w:pPr>
              <w:spacing w:line="260" w:lineRule="auto"/>
              <w:jc w:val="center"/>
              <w:rPr>
                <w:color w:val="auto"/>
                <w:sz w:val="28"/>
                <w:szCs w:val="28"/>
                <w:highlight w:val="none"/>
              </w:rPr>
            </w:pPr>
          </w:p>
          <w:p>
            <w:pPr>
              <w:spacing w:line="260" w:lineRule="auto"/>
              <w:jc w:val="center"/>
              <w:rPr>
                <w:color w:val="auto"/>
                <w:sz w:val="28"/>
                <w:szCs w:val="28"/>
                <w:highlight w:val="none"/>
              </w:rPr>
            </w:pPr>
          </w:p>
          <w:p>
            <w:pPr>
              <w:spacing w:line="260" w:lineRule="auto"/>
              <w:jc w:val="center"/>
              <w:rPr>
                <w:color w:val="auto"/>
                <w:sz w:val="28"/>
                <w:szCs w:val="28"/>
                <w:highlight w:val="none"/>
              </w:rPr>
            </w:pPr>
          </w:p>
          <w:p>
            <w:pPr>
              <w:spacing w:before="12" w:line="220" w:lineRule="auto"/>
              <w:jc w:val="center"/>
              <w:rPr>
                <w:rFonts w:ascii="宋体" w:hAnsi="宋体" w:cs="宋体"/>
                <w:color w:val="auto"/>
                <w:sz w:val="24"/>
                <w:szCs w:val="24"/>
                <w:highlight w:val="none"/>
              </w:rPr>
            </w:pPr>
          </w:p>
          <w:p>
            <w:pPr>
              <w:spacing w:before="12" w:line="220" w:lineRule="auto"/>
              <w:jc w:val="center"/>
              <w:rPr>
                <w:rFonts w:ascii="宋体" w:hAnsi="宋体" w:cs="宋体"/>
                <w:color w:val="auto"/>
                <w:sz w:val="24"/>
                <w:szCs w:val="24"/>
                <w:highlight w:val="none"/>
              </w:rPr>
            </w:pPr>
          </w:p>
          <w:p>
            <w:pPr>
              <w:spacing w:before="12" w:line="220" w:lineRule="auto"/>
              <w:jc w:val="center"/>
              <w:rPr>
                <w:rFonts w:ascii="宋体" w:hAnsi="宋体" w:cs="宋体"/>
                <w:color w:val="auto"/>
                <w:sz w:val="24"/>
                <w:szCs w:val="24"/>
                <w:highlight w:val="none"/>
              </w:rPr>
            </w:pPr>
          </w:p>
          <w:p>
            <w:pPr>
              <w:spacing w:before="12" w:line="220" w:lineRule="auto"/>
              <w:jc w:val="center"/>
              <w:rPr>
                <w:rFonts w:ascii="宋体" w:hAnsi="宋体" w:eastAsia="宋体" w:cs="宋体"/>
                <w:color w:val="auto"/>
                <w:sz w:val="28"/>
                <w:szCs w:val="28"/>
                <w:highlight w:val="none"/>
              </w:rPr>
            </w:pPr>
            <w:r>
              <w:rPr>
                <w:rFonts w:hint="eastAsia" w:ascii="宋体" w:hAnsi="宋体" w:cs="宋体"/>
                <w:color w:val="auto"/>
                <w:sz w:val="24"/>
                <w:szCs w:val="24"/>
                <w:highlight w:val="none"/>
              </w:rPr>
              <w:t>业绩与科研成果</w:t>
            </w:r>
          </w:p>
        </w:tc>
        <w:tc>
          <w:tcPr>
            <w:tcW w:w="9360" w:type="dxa"/>
            <w:tcBorders>
              <w:top w:val="single" w:color="auto" w:sz="4" w:space="0"/>
              <w:left w:val="single" w:color="auto" w:sz="4" w:space="0"/>
              <w:bottom w:val="single" w:color="auto" w:sz="4" w:space="0"/>
              <w:right w:val="single" w:color="auto" w:sz="4" w:space="0"/>
            </w:tcBorders>
          </w:tcPr>
          <w:p>
            <w:pPr>
              <w:spacing w:before="101" w:line="230" w:lineRule="auto"/>
              <w:ind w:right="121"/>
              <w:rPr>
                <w:rFonts w:ascii="宋体" w:hAnsi="宋体" w:cs="宋体"/>
                <w:b/>
                <w:bCs/>
                <w:color w:val="auto"/>
                <w:sz w:val="24"/>
                <w:szCs w:val="24"/>
                <w:highlight w:val="none"/>
              </w:rPr>
            </w:pPr>
            <w:r>
              <w:rPr>
                <w:rFonts w:hint="eastAsia" w:ascii="宋体" w:hAnsi="宋体" w:cs="宋体"/>
                <w:b/>
                <w:bCs/>
                <w:color w:val="auto"/>
                <w:sz w:val="24"/>
                <w:szCs w:val="24"/>
                <w:highlight w:val="none"/>
              </w:rPr>
              <w:t>任现职以来，业绩与科研成果必须同时具备第①条中的一条和第②条中的一条：</w:t>
            </w:r>
          </w:p>
          <w:p>
            <w:pPr>
              <w:spacing w:line="360" w:lineRule="exact"/>
              <w:rPr>
                <w:rFonts w:ascii="宋体" w:hAnsi="宋体" w:cs="宋体"/>
                <w:b/>
                <w:bCs/>
                <w:color w:val="auto"/>
                <w:highlight w:val="none"/>
              </w:rPr>
            </w:pPr>
            <w:r>
              <w:rPr>
                <w:rFonts w:hint="eastAsia" w:ascii="宋体" w:hAnsi="宋体" w:cs="宋体"/>
                <w:b/>
                <w:bCs/>
                <w:color w:val="auto"/>
                <w:sz w:val="24"/>
                <w:szCs w:val="24"/>
                <w:highlight w:val="none"/>
              </w:rPr>
              <w:t>①项目、奖励条件</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a主持完成省（部）级科研项目</w:t>
            </w:r>
            <w:r>
              <w:rPr>
                <w:rFonts w:hint="eastAsia" w:ascii="宋体" w:hAnsi="宋体" w:cs="宋体"/>
                <w:color w:val="auto"/>
                <w:highlight w:val="none"/>
              </w:rPr>
              <w:t>1</w:t>
            </w:r>
            <w:r>
              <w:rPr>
                <w:rFonts w:hint="eastAsia" w:ascii="宋体" w:hAnsi="宋体" w:cs="宋体"/>
                <w:color w:val="auto"/>
                <w:sz w:val="24"/>
                <w:szCs w:val="24"/>
                <w:highlight w:val="none"/>
              </w:rPr>
              <w:t>项。</w:t>
            </w:r>
          </w:p>
          <w:p>
            <w:pPr>
              <w:spacing w:line="360" w:lineRule="exact"/>
              <w:rPr>
                <w:rFonts w:ascii="宋体" w:hAnsi="宋体" w:cs="宋体"/>
                <w:color w:val="auto"/>
                <w:highlight w:val="none"/>
              </w:rPr>
            </w:pPr>
            <w:r>
              <w:rPr>
                <w:rFonts w:hint="eastAsia" w:ascii="宋体" w:hAnsi="宋体" w:cs="宋体"/>
                <w:color w:val="auto"/>
                <w:sz w:val="24"/>
                <w:szCs w:val="24"/>
                <w:highlight w:val="none"/>
              </w:rPr>
              <w:t>b获国家级（限前</w:t>
            </w:r>
            <w:r>
              <w:rPr>
                <w:rFonts w:hint="eastAsia" w:ascii="宋体" w:hAnsi="宋体" w:eastAsia="宋体" w:cs="宋体"/>
                <w:color w:val="auto"/>
                <w:sz w:val="24"/>
                <w:szCs w:val="24"/>
                <w:highlight w:val="none"/>
                <w:lang w:val="en-US" w:eastAsia="zh-CN"/>
              </w:rPr>
              <w:t>8</w:t>
            </w:r>
            <w:r>
              <w:rPr>
                <w:rFonts w:hint="eastAsia" w:ascii="宋体" w:hAnsi="宋体" w:cs="宋体"/>
                <w:color w:val="auto"/>
                <w:sz w:val="24"/>
                <w:szCs w:val="24"/>
                <w:highlight w:val="none"/>
              </w:rPr>
              <w:t>名）或省（部）级奖（一等奖限前</w:t>
            </w:r>
            <w:r>
              <w:rPr>
                <w:rFonts w:hint="eastAsia" w:ascii="宋体" w:hAnsi="宋体" w:eastAsia="宋体" w:cs="宋体"/>
                <w:color w:val="auto"/>
                <w:sz w:val="24"/>
                <w:szCs w:val="24"/>
                <w:highlight w:val="none"/>
                <w:lang w:val="en-US" w:eastAsia="zh-CN"/>
              </w:rPr>
              <w:t>4</w:t>
            </w:r>
            <w:r>
              <w:rPr>
                <w:rFonts w:hint="eastAsia" w:ascii="宋体" w:hAnsi="宋体" w:cs="宋体"/>
                <w:color w:val="auto"/>
                <w:sz w:val="24"/>
                <w:szCs w:val="24"/>
                <w:highlight w:val="none"/>
              </w:rPr>
              <w:t>名、二等奖限前</w:t>
            </w: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rPr>
              <w:t>名、三等奖限前</w:t>
            </w:r>
            <w:r>
              <w:rPr>
                <w:rFonts w:hint="eastAsia" w:ascii="宋体" w:hAnsi="宋体" w:eastAsia="宋体" w:cs="宋体"/>
                <w:color w:val="auto"/>
                <w:sz w:val="24"/>
                <w:szCs w:val="24"/>
                <w:highlight w:val="none"/>
                <w:lang w:val="en-US" w:eastAsia="zh-CN"/>
              </w:rPr>
              <w:t>2</w:t>
            </w:r>
            <w:r>
              <w:rPr>
                <w:rFonts w:hint="eastAsia" w:ascii="宋体" w:hAnsi="宋体" w:cs="宋体"/>
                <w:color w:val="auto"/>
                <w:sz w:val="24"/>
                <w:szCs w:val="24"/>
                <w:highlight w:val="none"/>
              </w:rPr>
              <w:t>名）。</w:t>
            </w:r>
          </w:p>
          <w:p>
            <w:pPr>
              <w:spacing w:line="360" w:lineRule="exact"/>
              <w:rPr>
                <w:rFonts w:ascii="宋体" w:hAnsi="宋体" w:cs="宋体"/>
                <w:color w:val="auto"/>
                <w:highlight w:val="none"/>
              </w:rPr>
            </w:pPr>
            <w:r>
              <w:rPr>
                <w:rFonts w:hint="eastAsia" w:ascii="宋体" w:hAnsi="宋体" w:cs="宋体"/>
                <w:color w:val="auto"/>
                <w:sz w:val="24"/>
                <w:szCs w:val="24"/>
                <w:highlight w:val="none"/>
              </w:rPr>
              <w:t>c艺术类教师在省（部）级音乐比赛、展演（画展、设计展、音乐会等）中获二等奖以上，或在国家级音乐比赛、展演中获优秀奖以上；或主持承担过省（部）级以上大型项目设计。</w:t>
            </w:r>
          </w:p>
          <w:p>
            <w:pPr>
              <w:spacing w:line="360" w:lineRule="exact"/>
              <w:rPr>
                <w:rFonts w:ascii="宋体" w:hAnsi="宋体" w:cs="宋体"/>
                <w:color w:val="auto"/>
                <w:highlight w:val="none"/>
              </w:rPr>
            </w:pPr>
            <w:r>
              <w:rPr>
                <w:rFonts w:hint="eastAsia" w:ascii="宋体" w:hAnsi="宋体" w:cs="宋体"/>
                <w:color w:val="auto"/>
                <w:sz w:val="24"/>
                <w:szCs w:val="24"/>
                <w:highlight w:val="none"/>
              </w:rPr>
              <w:t>d体育类教师任国家级赛事集体项目前</w:t>
            </w:r>
            <w:r>
              <w:rPr>
                <w:rFonts w:hint="eastAsia" w:ascii="宋体" w:hAnsi="宋体" w:cs="宋体"/>
                <w:color w:val="auto"/>
                <w:highlight w:val="none"/>
              </w:rPr>
              <w:t>3</w:t>
            </w:r>
            <w:r>
              <w:rPr>
                <w:rFonts w:hint="eastAsia" w:ascii="宋体" w:hAnsi="宋体" w:cs="宋体"/>
                <w:color w:val="auto"/>
                <w:sz w:val="24"/>
                <w:szCs w:val="24"/>
                <w:highlight w:val="none"/>
              </w:rPr>
              <w:t>名运动队的主教练、单项比赛冠军的主教练；或任省级赛事集体项目冠军队主教练；或具有国家级裁判及以上资格并在国家级赛事担任过主裁判。</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e专职学生辅导员长期从事学生思想政治工作，且至少近</w:t>
            </w:r>
            <w:r>
              <w:rPr>
                <w:rFonts w:hint="eastAsia" w:ascii="宋体" w:hAnsi="宋体" w:cs="宋体"/>
                <w:color w:val="auto"/>
                <w:highlight w:val="none"/>
              </w:rPr>
              <w:t>5</w:t>
            </w:r>
            <w:r>
              <w:rPr>
                <w:rFonts w:hint="eastAsia" w:ascii="宋体" w:hAnsi="宋体" w:cs="宋体"/>
                <w:color w:val="auto"/>
                <w:sz w:val="24"/>
                <w:szCs w:val="24"/>
                <w:highlight w:val="none"/>
              </w:rPr>
              <w:t>年在学生工作第一线。本人获得或所带班级、团支部等学生团体获得省级以上教育主管部门颁发的荣誉称号；或主持完成省（部）级以上学生思想政治教育研究项目。</w:t>
            </w:r>
          </w:p>
          <w:p>
            <w:pPr>
              <w:spacing w:line="360"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f理工科类：主持横向课题单项到账经费</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0万元以上，或累计到账经费</w:t>
            </w:r>
            <w:r>
              <w:rPr>
                <w:rFonts w:hint="eastAsia" w:ascii="宋体" w:hAnsi="宋体" w:eastAsia="宋体" w:cs="宋体"/>
                <w:color w:val="auto"/>
                <w:sz w:val="24"/>
                <w:szCs w:val="24"/>
                <w:highlight w:val="none"/>
                <w:lang w:val="en-US" w:eastAsia="zh-CN"/>
              </w:rPr>
              <w:t>80</w:t>
            </w:r>
            <w:r>
              <w:rPr>
                <w:rFonts w:hint="eastAsia" w:ascii="宋体" w:hAnsi="宋体" w:eastAsia="宋体" w:cs="宋体"/>
                <w:color w:val="auto"/>
                <w:sz w:val="24"/>
                <w:szCs w:val="24"/>
                <w:highlight w:val="none"/>
              </w:rPr>
              <w:t xml:space="preserve">万元以上； </w:t>
            </w:r>
          </w:p>
          <w:p>
            <w:pPr>
              <w:spacing w:line="360"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人文社科类：主持横向课题单项到账经费</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0万元以上，或累计到账经费</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0万元以上。</w:t>
            </w:r>
          </w:p>
          <w:p>
            <w:pPr>
              <w:spacing w:line="360" w:lineRule="exac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g作为第一发明人获得国家发明专利</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项或获得软件著作权3项，实现专利成果转化产生经济效益或转化成果收益40万元以上。</w:t>
            </w:r>
          </w:p>
          <w:p>
            <w:pPr>
              <w:spacing w:line="360" w:lineRule="exact"/>
              <w:rPr>
                <w:rFonts w:ascii="宋体" w:hAnsi="宋体" w:cs="宋体"/>
                <w:b/>
                <w:bCs/>
                <w:color w:val="auto"/>
                <w:highlight w:val="none"/>
              </w:rPr>
            </w:pPr>
            <w:r>
              <w:rPr>
                <w:rFonts w:hint="eastAsia" w:ascii="宋体" w:hAnsi="宋体" w:cs="宋体"/>
                <w:b/>
                <w:bCs/>
                <w:color w:val="auto"/>
                <w:sz w:val="24"/>
                <w:szCs w:val="24"/>
                <w:highlight w:val="none"/>
              </w:rPr>
              <w:t>②论文、论著条件</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a有5篇学术论文发表在国内核心期刊或被国外权威期刊收录。</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b出版学术著作1部，且有3篇学术论文发表在国内核心期刊或被国外权威期刊收录。</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c艺术类教师有3篇以上学术论文发表在国内核心期刊上或被国外权威期刊收录；同时在艺术类专业核心期刊上发表作品2件以上，或在省以上电台、电视台播放作品2件以上（须提供正式播放证书附带有台标的实况录像或音响资料），或由省以上文联下属的一级协会作为主办单位举办的个人独唱（奏）音乐会、独舞专场演出、专场原创作品音乐会、歌舞剧、戏剧中演出主要角色、大型文艺晚会总导演1次以上，或参加中国文联下属的一级协会主办的届展1次或各专业艺委会主办的展览2次以上。</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d体育类教师有3篇以上学术论文发表在国内核心期刊上或被国外权威期刊收录；同时在奥科会、亚科会、全国体育科学大会、</w:t>
            </w:r>
            <w:r>
              <w:rPr>
                <w:rFonts w:hint="eastAsia" w:ascii="宋体" w:hAnsi="宋体" w:cs="宋体"/>
                <w:color w:val="auto"/>
                <w:sz w:val="24"/>
                <w:szCs w:val="24"/>
                <w:highlight w:val="none"/>
                <w:lang w:eastAsia="zh-CN"/>
              </w:rPr>
              <w:t>全国学生（青年）运动会</w:t>
            </w:r>
            <w:r>
              <w:rPr>
                <w:rFonts w:hint="eastAsia" w:ascii="宋体" w:hAnsi="宋体" w:cs="宋体"/>
                <w:color w:val="auto"/>
                <w:sz w:val="24"/>
                <w:szCs w:val="24"/>
                <w:highlight w:val="none"/>
              </w:rPr>
              <w:t>、全国学校体育科学大会等科学报告会上有墙报交流及以上文章2篇（限第一作者）。</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e专职学生辅导员有3篇以上学术论文发表在国内核心期刊上或被国外权威期刊收录；或出版著作1部，且有1篇论文发表在国内核心期刊上或被国外权威期刊收录。</w:t>
            </w:r>
          </w:p>
        </w:tc>
      </w:tr>
    </w:tbl>
    <w:tbl>
      <w:tblPr>
        <w:tblStyle w:val="10"/>
        <w:tblpPr w:leftFromText="180" w:rightFromText="180" w:vertAnchor="text" w:horzAnchor="page" w:tblpX="1318" w:tblpY="7112"/>
        <w:tblOverlap w:val="never"/>
        <w:tblW w:w="101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5"/>
        <w:gridCol w:w="300"/>
        <w:gridCol w:w="93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35" w:type="dxa"/>
            <w:vMerge w:val="restart"/>
            <w:tcBorders>
              <w:top w:val="single" w:color="auto" w:sz="4" w:space="0"/>
              <w:left w:val="single" w:color="auto" w:sz="4" w:space="0"/>
              <w:bottom w:val="single" w:color="auto" w:sz="4" w:space="0"/>
              <w:right w:val="single" w:color="auto" w:sz="4" w:space="0"/>
            </w:tcBorders>
          </w:tcPr>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before="78" w:line="235" w:lineRule="auto"/>
              <w:ind w:right="135"/>
              <w:jc w:val="both"/>
              <w:rPr>
                <w:rFonts w:ascii="宋体" w:hAnsi="宋体" w:eastAsia="宋体" w:cs="宋体"/>
                <w:color w:val="auto"/>
                <w:sz w:val="28"/>
                <w:szCs w:val="28"/>
                <w:highlight w:val="none"/>
              </w:rPr>
            </w:pPr>
            <w:r>
              <w:rPr>
                <w:rFonts w:hint="eastAsia" w:ascii="宋体" w:hAnsi="宋体" w:eastAsia="宋体" w:cs="宋体"/>
                <w:b/>
                <w:bCs/>
                <w:color w:val="auto"/>
                <w:spacing w:val="-4"/>
                <w:sz w:val="28"/>
                <w:szCs w:val="28"/>
                <w:highlight w:val="none"/>
              </w:rPr>
              <w:t>科研为主型</w:t>
            </w:r>
            <w:r>
              <w:rPr>
                <w:rFonts w:ascii="宋体" w:hAnsi="宋体" w:eastAsia="宋体" w:cs="宋体"/>
                <w:b/>
                <w:bCs/>
                <w:color w:val="auto"/>
                <w:spacing w:val="-4"/>
                <w:sz w:val="28"/>
                <w:szCs w:val="28"/>
                <w:highlight w:val="none"/>
              </w:rPr>
              <w:t>教授</w:t>
            </w:r>
          </w:p>
        </w:tc>
        <w:tc>
          <w:tcPr>
            <w:tcW w:w="300" w:type="dxa"/>
            <w:tcBorders>
              <w:top w:val="single" w:color="auto" w:sz="4" w:space="0"/>
              <w:left w:val="single" w:color="auto" w:sz="4" w:space="0"/>
              <w:bottom w:val="single" w:color="auto" w:sz="4" w:space="0"/>
              <w:right w:val="single" w:color="auto" w:sz="4" w:space="0"/>
            </w:tcBorders>
          </w:tcPr>
          <w:p>
            <w:pPr>
              <w:spacing w:line="249" w:lineRule="auto"/>
              <w:jc w:val="center"/>
              <w:rPr>
                <w:color w:val="auto"/>
                <w:sz w:val="28"/>
                <w:szCs w:val="28"/>
                <w:highlight w:val="none"/>
              </w:rPr>
            </w:pPr>
          </w:p>
          <w:p>
            <w:pPr>
              <w:spacing w:line="249" w:lineRule="auto"/>
              <w:jc w:val="center"/>
              <w:rPr>
                <w:color w:val="auto"/>
                <w:sz w:val="28"/>
                <w:szCs w:val="28"/>
                <w:highlight w:val="none"/>
              </w:rPr>
            </w:pPr>
          </w:p>
          <w:p>
            <w:pPr>
              <w:spacing w:line="250" w:lineRule="auto"/>
              <w:jc w:val="center"/>
              <w:rPr>
                <w:color w:val="auto"/>
                <w:sz w:val="28"/>
                <w:szCs w:val="28"/>
                <w:highlight w:val="none"/>
              </w:rPr>
            </w:pPr>
          </w:p>
          <w:p>
            <w:pPr>
              <w:spacing w:line="250" w:lineRule="auto"/>
              <w:jc w:val="center"/>
              <w:rPr>
                <w:color w:val="auto"/>
                <w:sz w:val="28"/>
                <w:szCs w:val="28"/>
                <w:highlight w:val="none"/>
              </w:rPr>
            </w:pPr>
          </w:p>
          <w:p>
            <w:pPr>
              <w:spacing w:before="78" w:line="255" w:lineRule="auto"/>
              <w:ind w:right="146"/>
              <w:jc w:val="center"/>
              <w:rPr>
                <w:rFonts w:ascii="宋体" w:hAnsi="宋体" w:eastAsia="宋体" w:cs="宋体"/>
                <w:color w:val="auto"/>
                <w:sz w:val="28"/>
                <w:szCs w:val="28"/>
                <w:highlight w:val="none"/>
              </w:rPr>
            </w:pPr>
            <w:r>
              <w:rPr>
                <w:rFonts w:hint="eastAsia" w:ascii="宋体" w:hAnsi="宋体" w:cs="宋体"/>
                <w:color w:val="auto"/>
                <w:sz w:val="24"/>
                <w:szCs w:val="24"/>
                <w:highlight w:val="none"/>
              </w:rPr>
              <w:t>专业工作能力</w:t>
            </w:r>
          </w:p>
        </w:tc>
        <w:tc>
          <w:tcPr>
            <w:tcW w:w="9375" w:type="dxa"/>
            <w:tcBorders>
              <w:top w:val="single" w:color="auto" w:sz="4" w:space="0"/>
              <w:left w:val="single" w:color="auto" w:sz="4" w:space="0"/>
              <w:bottom w:val="single" w:color="auto" w:sz="4" w:space="0"/>
              <w:right w:val="single" w:color="auto" w:sz="4" w:space="0"/>
            </w:tcBorders>
          </w:tcPr>
          <w:p>
            <w:pPr>
              <w:spacing w:before="101" w:line="230" w:lineRule="auto"/>
              <w:ind w:right="121"/>
              <w:rPr>
                <w:rFonts w:ascii="宋体" w:hAnsi="宋体" w:cs="宋体"/>
                <w:b/>
                <w:bCs/>
                <w:color w:val="auto"/>
                <w:sz w:val="24"/>
                <w:szCs w:val="24"/>
                <w:highlight w:val="none"/>
              </w:rPr>
            </w:pPr>
            <w:r>
              <w:rPr>
                <w:rFonts w:hint="eastAsia" w:ascii="宋体" w:hAnsi="宋体" w:cs="宋体"/>
                <w:b/>
                <w:bCs/>
                <w:color w:val="auto"/>
                <w:sz w:val="24"/>
                <w:szCs w:val="24"/>
                <w:highlight w:val="none"/>
              </w:rPr>
              <w:t>任现职以来，专业工作能力应具备以下条件：</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①具有本学科系统、坚实的理论基础和渊博的专业知识，在丰富的学术实践基础上形成了稳定的研究方向和系统的研究成果，具有较高的理论研究水平和学术造诣，能及时把握国内外本学科及相关学科的前沿发展动态，具有主持和指导科学研究和学术创新的能力。</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②每学年至少承担</w:t>
            </w:r>
            <w:r>
              <w:rPr>
                <w:rFonts w:hint="eastAsia" w:ascii="宋体" w:hAnsi="宋体" w:cs="宋体"/>
                <w:color w:val="auto"/>
                <w:highlight w:val="none"/>
              </w:rPr>
              <w:t>1</w:t>
            </w:r>
            <w:r>
              <w:rPr>
                <w:rFonts w:hint="eastAsia" w:ascii="宋体" w:hAnsi="宋体" w:cs="宋体"/>
                <w:color w:val="auto"/>
                <w:sz w:val="24"/>
                <w:szCs w:val="24"/>
                <w:highlight w:val="none"/>
              </w:rPr>
              <w:t>门全日制普通本科生课程的讲授工作，完成学校规定的教学、科研等工作任务。将思想政治教育有效融入教学，在学生培养工作中做出突出贡献。</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③年均教学工作量不少于64标时，且任现职以来年度教学质量考核均为合格以上。</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④指导过2名以上访问学者、青年教师、进修教师学习并取得较好效果。</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⑤主持或积极参与学院、系学科专业建设、人才培养方案制定、专业评估、产业学院建设、实验室建设等各项院系公共工作。</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⑥经学校认定的“双师型”教师或在国家机关、企事业单位、基层挂职工作6个月以上并产生较好的社会经济效益或取得突出成绩的。</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⑦参与校</w:t>
            </w:r>
            <w:r>
              <w:rPr>
                <w:rFonts w:hint="eastAsia" w:ascii="宋体" w:hAnsi="宋体" w:cs="宋体"/>
                <w:color w:val="auto"/>
                <w:sz w:val="24"/>
                <w:szCs w:val="24"/>
                <w:highlight w:val="none"/>
                <w:lang w:val="en-US" w:eastAsia="zh-CN"/>
              </w:rPr>
              <w:t>级以上单位</w:t>
            </w:r>
            <w:r>
              <w:rPr>
                <w:rFonts w:hint="eastAsia" w:ascii="宋体" w:hAnsi="宋体" w:cs="宋体"/>
                <w:color w:val="auto"/>
                <w:sz w:val="24"/>
                <w:szCs w:val="24"/>
                <w:highlight w:val="none"/>
              </w:rPr>
              <w:t>组织的各类竞赛</w:t>
            </w:r>
            <w:r>
              <w:rPr>
                <w:rFonts w:hint="eastAsia" w:ascii="宋体" w:hAnsi="宋体" w:cs="宋体"/>
                <w:color w:val="auto"/>
                <w:sz w:val="24"/>
                <w:szCs w:val="24"/>
                <w:highlight w:val="none"/>
                <w:lang w:val="en-US" w:eastAsia="zh-CN"/>
              </w:rPr>
              <w:t>一次以上</w:t>
            </w:r>
            <w:r>
              <w:rPr>
                <w:rFonts w:hint="eastAsia" w:ascii="宋体" w:hAnsi="宋体" w:cs="宋体"/>
                <w:color w:val="auto"/>
                <w:sz w:val="24"/>
                <w:szCs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35" w:type="dxa"/>
            <w:vMerge w:val="continue"/>
            <w:tcBorders>
              <w:top w:val="single" w:color="auto" w:sz="4" w:space="0"/>
              <w:left w:val="single" w:color="auto" w:sz="4" w:space="0"/>
              <w:bottom w:val="single" w:color="auto" w:sz="4" w:space="0"/>
              <w:right w:val="single" w:color="auto" w:sz="4" w:space="0"/>
            </w:tcBorders>
          </w:tcPr>
          <w:p>
            <w:pPr>
              <w:jc w:val="center"/>
              <w:rPr>
                <w:color w:val="auto"/>
                <w:sz w:val="28"/>
                <w:szCs w:val="28"/>
                <w:highlight w:val="none"/>
              </w:rPr>
            </w:pPr>
          </w:p>
        </w:tc>
        <w:tc>
          <w:tcPr>
            <w:tcW w:w="300" w:type="dxa"/>
            <w:tcBorders>
              <w:top w:val="single" w:color="auto" w:sz="4" w:space="0"/>
              <w:left w:val="single" w:color="auto" w:sz="4" w:space="0"/>
              <w:bottom w:val="single" w:color="auto" w:sz="4" w:space="0"/>
              <w:right w:val="single" w:color="auto" w:sz="4" w:space="0"/>
            </w:tcBorders>
          </w:tcPr>
          <w:p>
            <w:pPr>
              <w:spacing w:line="259" w:lineRule="auto"/>
              <w:jc w:val="center"/>
              <w:rPr>
                <w:color w:val="auto"/>
                <w:sz w:val="28"/>
                <w:szCs w:val="28"/>
                <w:highlight w:val="none"/>
              </w:rPr>
            </w:pPr>
          </w:p>
          <w:p>
            <w:pPr>
              <w:spacing w:before="12" w:line="220" w:lineRule="auto"/>
              <w:jc w:val="both"/>
              <w:rPr>
                <w:rFonts w:ascii="宋体" w:hAnsi="宋体" w:eastAsia="宋体" w:cs="宋体"/>
                <w:color w:val="auto"/>
                <w:sz w:val="28"/>
                <w:szCs w:val="28"/>
                <w:highlight w:val="none"/>
              </w:rPr>
            </w:pPr>
            <w:r>
              <w:rPr>
                <w:rFonts w:hint="eastAsia" w:ascii="宋体" w:hAnsi="宋体" w:cs="宋体"/>
                <w:color w:val="auto"/>
                <w:sz w:val="24"/>
                <w:szCs w:val="24"/>
                <w:highlight w:val="none"/>
              </w:rPr>
              <w:t>业绩与科研成果</w:t>
            </w:r>
          </w:p>
        </w:tc>
        <w:tc>
          <w:tcPr>
            <w:tcW w:w="9375" w:type="dxa"/>
            <w:tcBorders>
              <w:top w:val="single" w:color="auto" w:sz="4" w:space="0"/>
              <w:left w:val="single" w:color="auto" w:sz="4" w:space="0"/>
              <w:bottom w:val="single" w:color="auto" w:sz="4" w:space="0"/>
              <w:right w:val="single" w:color="auto" w:sz="4" w:space="0"/>
            </w:tcBorders>
          </w:tcPr>
          <w:p>
            <w:pPr>
              <w:spacing w:before="101" w:line="230" w:lineRule="auto"/>
              <w:ind w:right="121"/>
              <w:rPr>
                <w:rFonts w:ascii="宋体" w:hAnsi="宋体" w:cs="宋体"/>
                <w:b/>
                <w:bCs/>
                <w:color w:val="auto"/>
                <w:sz w:val="24"/>
                <w:szCs w:val="24"/>
                <w:highlight w:val="none"/>
              </w:rPr>
            </w:pPr>
            <w:r>
              <w:rPr>
                <w:rFonts w:hint="eastAsia" w:ascii="宋体" w:hAnsi="宋体" w:cs="宋体"/>
                <w:b/>
                <w:bCs/>
                <w:color w:val="auto"/>
                <w:sz w:val="24"/>
                <w:szCs w:val="24"/>
                <w:highlight w:val="none"/>
              </w:rPr>
              <w:t>任现职以来，业绩与科研成果同时具备下列条件①至②中的一条以及③至⑦中的一条：</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①主持完成国家级科研项目1项。</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②获国家级（限前5名）或省（部）级（一等奖限前3名、二等奖限前2名、三等奖限前1名）奖。</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③在国内核心期刊上发表学术论文6篇以上。</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④出版学术专著1部，且有4篇学术论文发表在国内核心期刊上或被国外权威期刊收录。</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⑤被国外权威期刊收录学术论文6篇以上。</w:t>
            </w:r>
          </w:p>
          <w:p>
            <w:pPr>
              <w:spacing w:line="360" w:lineRule="exact"/>
              <w:rPr>
                <w:rFonts w:ascii="宋体" w:hAnsi="宋体" w:eastAsia="宋体" w:cs="宋体"/>
                <w:color w:val="auto"/>
                <w:sz w:val="24"/>
                <w:szCs w:val="24"/>
                <w:highlight w:val="none"/>
              </w:rPr>
            </w:pPr>
            <w:r>
              <w:rPr>
                <w:rFonts w:hint="eastAsia" w:ascii="微软雅黑" w:hAnsi="微软雅黑" w:eastAsia="微软雅黑" w:cs="微软雅黑"/>
                <w:color w:val="auto"/>
                <w:sz w:val="24"/>
                <w:szCs w:val="24"/>
                <w:highlight w:val="none"/>
              </w:rPr>
              <w:t>⑥</w:t>
            </w:r>
            <w:r>
              <w:rPr>
                <w:rFonts w:hint="eastAsia" w:ascii="宋体" w:hAnsi="宋体" w:eastAsia="宋体" w:cs="宋体"/>
                <w:color w:val="auto"/>
                <w:sz w:val="24"/>
                <w:szCs w:val="24"/>
                <w:highlight w:val="none"/>
              </w:rPr>
              <w:t>理工科类：主持横向课题单项到账经费</w:t>
            </w:r>
            <w:r>
              <w:rPr>
                <w:rFonts w:hint="eastAsia" w:ascii="宋体" w:hAnsi="宋体" w:eastAsia="宋体" w:cs="宋体"/>
                <w:color w:val="auto"/>
                <w:sz w:val="24"/>
                <w:szCs w:val="24"/>
                <w:highlight w:val="none"/>
                <w:lang w:val="en-US" w:eastAsia="zh-CN"/>
              </w:rPr>
              <w:t>50</w:t>
            </w:r>
            <w:r>
              <w:rPr>
                <w:rFonts w:hint="eastAsia" w:ascii="宋体" w:hAnsi="宋体" w:eastAsia="宋体" w:cs="宋体"/>
                <w:color w:val="auto"/>
                <w:sz w:val="24"/>
                <w:szCs w:val="24"/>
                <w:highlight w:val="none"/>
              </w:rPr>
              <w:t>万元以上，或累计到账经费</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 xml:space="preserve">万元以上； </w:t>
            </w:r>
          </w:p>
          <w:p>
            <w:pPr>
              <w:spacing w:line="360"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人文社科类：主持横向课题单项到账经费</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万元以上，或累计到账经费</w:t>
            </w:r>
            <w:r>
              <w:rPr>
                <w:rFonts w:hint="eastAsia" w:ascii="宋体" w:hAnsi="宋体" w:eastAsia="宋体" w:cs="宋体"/>
                <w:color w:val="auto"/>
                <w:sz w:val="24"/>
                <w:szCs w:val="24"/>
                <w:highlight w:val="none"/>
                <w:lang w:val="en-US" w:eastAsia="zh-CN"/>
              </w:rPr>
              <w:t>80</w:t>
            </w:r>
            <w:r>
              <w:rPr>
                <w:rFonts w:hint="eastAsia" w:ascii="宋体" w:hAnsi="宋体" w:eastAsia="宋体" w:cs="宋体"/>
                <w:color w:val="auto"/>
                <w:sz w:val="24"/>
                <w:szCs w:val="24"/>
                <w:highlight w:val="none"/>
              </w:rPr>
              <w:t>万元以上。</w:t>
            </w:r>
          </w:p>
          <w:p>
            <w:pPr>
              <w:shd w:val="clear" w:color="auto" w:fill="FFFFFF"/>
              <w:spacing w:line="360" w:lineRule="exact"/>
              <w:rPr>
                <w:rFonts w:ascii="宋体" w:hAnsi="宋体" w:cs="宋体"/>
                <w:color w:val="auto"/>
                <w:sz w:val="24"/>
                <w:szCs w:val="24"/>
                <w:highlight w:val="none"/>
              </w:rPr>
            </w:pPr>
            <w:r>
              <w:rPr>
                <w:rFonts w:hint="eastAsia" w:ascii="微软雅黑" w:hAnsi="微软雅黑" w:eastAsia="微软雅黑" w:cs="微软雅黑"/>
                <w:color w:val="auto"/>
                <w:sz w:val="24"/>
                <w:szCs w:val="24"/>
                <w:highlight w:val="none"/>
              </w:rPr>
              <w:t>⑦</w:t>
            </w:r>
            <w:r>
              <w:rPr>
                <w:rFonts w:hint="eastAsia" w:ascii="宋体" w:hAnsi="宋体" w:eastAsia="宋体" w:cs="宋体"/>
                <w:color w:val="auto"/>
                <w:sz w:val="24"/>
                <w:szCs w:val="24"/>
                <w:highlight w:val="none"/>
              </w:rPr>
              <w:t>作为第一发明人获得国家发明专利</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项，或获得软件著作</w:t>
            </w:r>
            <w:r>
              <w:rPr>
                <w:rFonts w:hint="eastAsia" w:ascii="宋体" w:hAnsi="宋体" w:eastAsia="宋体" w:cs="宋体"/>
                <w:color w:val="auto"/>
                <w:sz w:val="24"/>
                <w:szCs w:val="24"/>
                <w:highlight w:val="none"/>
                <w:lang w:val="en-US" w:eastAsia="zh-CN"/>
              </w:rPr>
              <w:t>权</w:t>
            </w:r>
            <w:r>
              <w:rPr>
                <w:rFonts w:hint="eastAsia" w:ascii="宋体" w:hAnsi="宋体" w:eastAsia="宋体" w:cs="宋体"/>
                <w:color w:val="auto"/>
                <w:sz w:val="24"/>
                <w:szCs w:val="24"/>
                <w:highlight w:val="none"/>
              </w:rPr>
              <w:t>3项，实现专利成果转化产生经济效益或转化成果收益40万元以上。</w:t>
            </w:r>
          </w:p>
        </w:tc>
      </w:tr>
    </w:tbl>
    <w:p>
      <w:pPr>
        <w:rPr>
          <w:color w:val="auto"/>
          <w:sz w:val="28"/>
          <w:szCs w:val="28"/>
          <w:highlight w:val="none"/>
        </w:rPr>
      </w:pPr>
    </w:p>
    <w:tbl>
      <w:tblPr>
        <w:tblStyle w:val="10"/>
        <w:tblpPr w:leftFromText="180" w:rightFromText="180" w:vertAnchor="text" w:horzAnchor="page" w:tblpX="1318" w:tblpY="302"/>
        <w:tblOverlap w:val="never"/>
        <w:tblW w:w="1009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0"/>
        <w:gridCol w:w="315"/>
        <w:gridCol w:w="93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6" w:hRule="atLeast"/>
        </w:trPr>
        <w:tc>
          <w:tcPr>
            <w:tcW w:w="420" w:type="dxa"/>
            <w:vMerge w:val="restart"/>
            <w:tcBorders>
              <w:top w:val="single" w:color="auto" w:sz="4" w:space="0"/>
              <w:left w:val="single" w:color="auto" w:sz="4" w:space="0"/>
              <w:bottom w:val="single" w:color="auto" w:sz="4" w:space="0"/>
              <w:right w:val="single" w:color="auto" w:sz="4" w:space="0"/>
            </w:tcBorders>
          </w:tcPr>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360" w:lineRule="exact"/>
              <w:ind w:firstLine="578" w:firstLineChars="200"/>
              <w:rPr>
                <w:rFonts w:ascii="宋体" w:hAnsi="宋体" w:eastAsia="宋体" w:cs="宋体"/>
                <w:color w:val="auto"/>
                <w:sz w:val="28"/>
                <w:szCs w:val="28"/>
                <w:highlight w:val="none"/>
              </w:rPr>
            </w:pPr>
            <w:r>
              <w:rPr>
                <w:rFonts w:hint="eastAsia" w:ascii="宋体" w:hAnsi="宋体" w:eastAsia="宋体" w:cs="宋体"/>
                <w:b/>
                <w:bCs/>
                <w:color w:val="auto"/>
                <w:spacing w:val="4"/>
                <w:sz w:val="28"/>
                <w:szCs w:val="28"/>
                <w:highlight w:val="none"/>
              </w:rPr>
              <w:t>社</w:t>
            </w:r>
            <w:r>
              <w:rPr>
                <w:rFonts w:hint="eastAsia" w:ascii="宋体" w:hAnsi="宋体" w:eastAsia="宋体" w:cs="宋体"/>
                <w:b/>
                <w:bCs/>
                <w:color w:val="auto"/>
                <w:spacing w:val="-4"/>
                <w:sz w:val="28"/>
                <w:szCs w:val="28"/>
                <w:highlight w:val="none"/>
              </w:rPr>
              <w:t>社会服务与推广型</w:t>
            </w:r>
            <w:r>
              <w:rPr>
                <w:rFonts w:ascii="宋体" w:hAnsi="宋体" w:eastAsia="宋体" w:cs="宋体"/>
                <w:b/>
                <w:bCs/>
                <w:color w:val="auto"/>
                <w:spacing w:val="-4"/>
                <w:sz w:val="28"/>
                <w:szCs w:val="28"/>
                <w:highlight w:val="none"/>
              </w:rPr>
              <w:t>教授</w:t>
            </w:r>
          </w:p>
        </w:tc>
        <w:tc>
          <w:tcPr>
            <w:tcW w:w="315" w:type="dxa"/>
            <w:tcBorders>
              <w:top w:val="single" w:color="auto" w:sz="4" w:space="0"/>
              <w:left w:val="single" w:color="auto" w:sz="4" w:space="0"/>
              <w:bottom w:val="single" w:color="auto" w:sz="4" w:space="0"/>
              <w:right w:val="single" w:color="auto" w:sz="4" w:space="0"/>
            </w:tcBorders>
          </w:tcPr>
          <w:p>
            <w:pPr>
              <w:spacing w:line="249" w:lineRule="auto"/>
              <w:jc w:val="center"/>
              <w:rPr>
                <w:color w:val="auto"/>
                <w:sz w:val="28"/>
                <w:szCs w:val="28"/>
                <w:highlight w:val="none"/>
              </w:rPr>
            </w:pPr>
          </w:p>
          <w:p>
            <w:pPr>
              <w:spacing w:line="249" w:lineRule="auto"/>
              <w:jc w:val="center"/>
              <w:rPr>
                <w:color w:val="auto"/>
                <w:sz w:val="28"/>
                <w:szCs w:val="28"/>
                <w:highlight w:val="none"/>
              </w:rPr>
            </w:pPr>
          </w:p>
          <w:p>
            <w:pPr>
              <w:spacing w:line="250" w:lineRule="auto"/>
              <w:jc w:val="center"/>
              <w:rPr>
                <w:color w:val="auto"/>
                <w:sz w:val="28"/>
                <w:szCs w:val="28"/>
                <w:highlight w:val="none"/>
              </w:rPr>
            </w:pPr>
          </w:p>
          <w:p>
            <w:pPr>
              <w:spacing w:line="250" w:lineRule="auto"/>
              <w:jc w:val="center"/>
              <w:rPr>
                <w:color w:val="auto"/>
                <w:sz w:val="28"/>
                <w:szCs w:val="28"/>
                <w:highlight w:val="none"/>
              </w:rPr>
            </w:pPr>
          </w:p>
          <w:p>
            <w:pPr>
              <w:spacing w:before="78" w:line="255" w:lineRule="auto"/>
              <w:ind w:right="146"/>
              <w:jc w:val="center"/>
              <w:rPr>
                <w:rFonts w:ascii="宋体" w:hAnsi="宋体" w:eastAsia="宋体" w:cs="宋体"/>
                <w:color w:val="auto"/>
                <w:sz w:val="28"/>
                <w:szCs w:val="28"/>
                <w:highlight w:val="none"/>
              </w:rPr>
            </w:pPr>
            <w:r>
              <w:rPr>
                <w:rFonts w:hint="eastAsia" w:ascii="宋体" w:hAnsi="宋体" w:cs="宋体"/>
                <w:color w:val="auto"/>
                <w:sz w:val="24"/>
                <w:szCs w:val="24"/>
                <w:highlight w:val="none"/>
              </w:rPr>
              <w:t>专业工作能力</w:t>
            </w:r>
          </w:p>
        </w:tc>
        <w:tc>
          <w:tcPr>
            <w:tcW w:w="9360" w:type="dxa"/>
            <w:tcBorders>
              <w:top w:val="single" w:color="auto" w:sz="4" w:space="0"/>
              <w:left w:val="single" w:color="auto" w:sz="4" w:space="0"/>
              <w:bottom w:val="single" w:color="auto" w:sz="4" w:space="0"/>
              <w:right w:val="single" w:color="auto" w:sz="4" w:space="0"/>
            </w:tcBorders>
          </w:tcPr>
          <w:p>
            <w:pPr>
              <w:spacing w:before="101" w:line="230" w:lineRule="auto"/>
              <w:ind w:right="121"/>
              <w:rPr>
                <w:rFonts w:ascii="宋体" w:hAnsi="宋体" w:cs="宋体"/>
                <w:b/>
                <w:bCs/>
                <w:color w:val="auto"/>
                <w:sz w:val="24"/>
                <w:szCs w:val="24"/>
                <w:highlight w:val="none"/>
              </w:rPr>
            </w:pPr>
            <w:r>
              <w:rPr>
                <w:rFonts w:hint="eastAsia" w:ascii="宋体" w:hAnsi="宋体" w:cs="宋体"/>
                <w:b/>
                <w:bCs/>
                <w:color w:val="auto"/>
                <w:sz w:val="24"/>
                <w:szCs w:val="24"/>
                <w:highlight w:val="none"/>
              </w:rPr>
              <w:t>任现职以来，专业工作能力应具备以下条件：</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①具有系统的专业基础理论和生产实践经验，具有承担重大横向技术研究开发课题、开展技术咨询服务的能力，在成果转化、技术咨询与推广、艺术创作与推广、提供政策咨询等方面产生重要的影响力以及显著的经济社会效益。</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②每学年至少承担1门全日制普通本科生课程的讲授工作，完成学校规定的教学、科研等工作任务。</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③年均教学工作量不少于64标时，且任现职以来年度教学质量考核均为合格以上。</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④指导过2名以上访问学者、青年教师、进修教师学习并取得较好效果。</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⑤主持或积极参与学院、系学科专业建设、人才培养方案制定、专业评估、产业学院建设、实验室建设等各项院系公共工作。</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⑥经学校认定的“双师型”教师或在国家机关、企事业单位、基层挂职工作6个月以上并产生较好的社会经济效益或取得突出成绩的。</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⑦参与校</w:t>
            </w:r>
            <w:r>
              <w:rPr>
                <w:rFonts w:hint="eastAsia" w:ascii="宋体" w:hAnsi="宋体" w:cs="宋体"/>
                <w:color w:val="auto"/>
                <w:sz w:val="24"/>
                <w:szCs w:val="24"/>
                <w:highlight w:val="none"/>
                <w:lang w:val="en-US" w:eastAsia="zh-CN"/>
              </w:rPr>
              <w:t>级以上单位</w:t>
            </w:r>
            <w:r>
              <w:rPr>
                <w:rFonts w:hint="eastAsia" w:ascii="宋体" w:hAnsi="宋体" w:cs="宋体"/>
                <w:color w:val="auto"/>
                <w:sz w:val="24"/>
                <w:szCs w:val="24"/>
                <w:highlight w:val="none"/>
              </w:rPr>
              <w:t>组织的各类竞赛</w:t>
            </w:r>
            <w:r>
              <w:rPr>
                <w:rFonts w:hint="eastAsia" w:ascii="宋体" w:hAnsi="宋体" w:cs="宋体"/>
                <w:color w:val="auto"/>
                <w:sz w:val="24"/>
                <w:szCs w:val="24"/>
                <w:highlight w:val="none"/>
                <w:lang w:val="en-US" w:eastAsia="zh-CN"/>
              </w:rPr>
              <w:t>一次以上</w:t>
            </w:r>
            <w:r>
              <w:rPr>
                <w:rFonts w:hint="eastAsia" w:ascii="宋体" w:hAnsi="宋体" w:cs="宋体"/>
                <w:color w:val="auto"/>
                <w:sz w:val="24"/>
                <w:szCs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trPr>
        <w:tc>
          <w:tcPr>
            <w:tcW w:w="420" w:type="dxa"/>
            <w:vMerge w:val="continue"/>
            <w:tcBorders>
              <w:top w:val="single" w:color="auto" w:sz="4" w:space="0"/>
              <w:left w:val="single" w:color="auto" w:sz="4" w:space="0"/>
              <w:bottom w:val="single" w:color="auto" w:sz="4" w:space="0"/>
              <w:right w:val="single" w:color="auto" w:sz="4" w:space="0"/>
            </w:tcBorders>
          </w:tcPr>
          <w:p>
            <w:pPr>
              <w:jc w:val="center"/>
              <w:rPr>
                <w:color w:val="auto"/>
                <w:sz w:val="28"/>
                <w:szCs w:val="28"/>
                <w:highlight w:val="none"/>
              </w:rPr>
            </w:pPr>
          </w:p>
        </w:tc>
        <w:tc>
          <w:tcPr>
            <w:tcW w:w="315" w:type="dxa"/>
            <w:tcBorders>
              <w:top w:val="single" w:color="auto" w:sz="4" w:space="0"/>
              <w:left w:val="single" w:color="auto" w:sz="4" w:space="0"/>
              <w:bottom w:val="single" w:color="auto" w:sz="4" w:space="0"/>
              <w:right w:val="single" w:color="auto" w:sz="4" w:space="0"/>
            </w:tcBorders>
          </w:tcPr>
          <w:p>
            <w:pPr>
              <w:spacing w:line="259" w:lineRule="auto"/>
              <w:jc w:val="center"/>
              <w:rPr>
                <w:color w:val="auto"/>
                <w:sz w:val="28"/>
                <w:szCs w:val="28"/>
                <w:highlight w:val="none"/>
              </w:rPr>
            </w:pPr>
          </w:p>
          <w:p>
            <w:pPr>
              <w:spacing w:before="12" w:line="220" w:lineRule="auto"/>
              <w:jc w:val="both"/>
              <w:rPr>
                <w:rFonts w:ascii="宋体" w:hAnsi="宋体" w:eastAsia="宋体" w:cs="宋体"/>
                <w:color w:val="auto"/>
                <w:sz w:val="28"/>
                <w:szCs w:val="28"/>
                <w:highlight w:val="none"/>
              </w:rPr>
            </w:pPr>
            <w:r>
              <w:rPr>
                <w:rFonts w:hint="eastAsia" w:ascii="宋体" w:hAnsi="宋体" w:cs="宋体"/>
                <w:color w:val="auto"/>
                <w:sz w:val="24"/>
                <w:szCs w:val="24"/>
                <w:highlight w:val="none"/>
              </w:rPr>
              <w:t>业绩与科研成果</w:t>
            </w:r>
          </w:p>
        </w:tc>
        <w:tc>
          <w:tcPr>
            <w:tcW w:w="9360" w:type="dxa"/>
            <w:tcBorders>
              <w:top w:val="single" w:color="auto" w:sz="4" w:space="0"/>
              <w:left w:val="single" w:color="auto" w:sz="4" w:space="0"/>
              <w:bottom w:val="single" w:color="auto" w:sz="4" w:space="0"/>
              <w:right w:val="single" w:color="auto" w:sz="4" w:space="0"/>
            </w:tcBorders>
          </w:tcPr>
          <w:p>
            <w:pPr>
              <w:spacing w:before="101" w:line="230" w:lineRule="auto"/>
              <w:ind w:right="121"/>
              <w:rPr>
                <w:rFonts w:ascii="宋体" w:hAnsi="宋体" w:cs="宋体"/>
                <w:b/>
                <w:bCs/>
                <w:color w:val="auto"/>
                <w:sz w:val="24"/>
                <w:szCs w:val="24"/>
                <w:highlight w:val="none"/>
              </w:rPr>
            </w:pPr>
            <w:r>
              <w:rPr>
                <w:rFonts w:hint="eastAsia" w:ascii="宋体" w:hAnsi="宋体" w:cs="宋体"/>
                <w:b/>
                <w:bCs/>
                <w:color w:val="auto"/>
                <w:sz w:val="24"/>
                <w:szCs w:val="24"/>
                <w:highlight w:val="none"/>
              </w:rPr>
              <w:t>任现职以来，业绩与科研成果应具备下列条件中的2条，其中①为必须条件。</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①在国内核心期刊上发表学术论文</w:t>
            </w:r>
            <w:r>
              <w:rPr>
                <w:rFonts w:hint="eastAsia" w:ascii="宋体" w:hAnsi="宋体" w:cs="宋体"/>
                <w:color w:val="auto"/>
                <w:highlight w:val="none"/>
              </w:rPr>
              <w:t>5</w:t>
            </w:r>
            <w:r>
              <w:rPr>
                <w:rFonts w:hint="eastAsia" w:ascii="宋体" w:hAnsi="宋体" w:cs="宋体"/>
                <w:color w:val="auto"/>
                <w:sz w:val="24"/>
                <w:szCs w:val="24"/>
                <w:highlight w:val="none"/>
              </w:rPr>
              <w:t>篇以上；或至少</w:t>
            </w:r>
            <w:r>
              <w:rPr>
                <w:rFonts w:hint="eastAsia" w:ascii="宋体" w:hAnsi="宋体" w:cs="宋体"/>
                <w:color w:val="auto"/>
                <w:highlight w:val="none"/>
              </w:rPr>
              <w:t>3</w:t>
            </w:r>
            <w:r>
              <w:rPr>
                <w:rFonts w:hint="eastAsia" w:ascii="宋体" w:hAnsi="宋体" w:cs="宋体"/>
                <w:color w:val="auto"/>
                <w:sz w:val="24"/>
                <w:szCs w:val="24"/>
                <w:highlight w:val="none"/>
              </w:rPr>
              <w:t>篇学术论文被国外权威期刊收录。</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②理工科类：主持单项横向课题到账经费</w:t>
            </w:r>
            <w:r>
              <w:rPr>
                <w:rFonts w:hint="eastAsia" w:ascii="宋体" w:hAnsi="宋体" w:cs="宋体"/>
                <w:color w:val="auto"/>
                <w:highlight w:val="none"/>
              </w:rPr>
              <w:t>200</w:t>
            </w:r>
            <w:r>
              <w:rPr>
                <w:rFonts w:hint="eastAsia" w:ascii="宋体" w:hAnsi="宋体" w:cs="宋体"/>
                <w:color w:val="auto"/>
                <w:sz w:val="24"/>
                <w:szCs w:val="24"/>
                <w:highlight w:val="none"/>
              </w:rPr>
              <w:t>万元，或主持横向课题累计到账经费</w:t>
            </w:r>
            <w:r>
              <w:rPr>
                <w:rFonts w:hint="eastAsia" w:ascii="宋体" w:hAnsi="宋体" w:cs="宋体"/>
                <w:color w:val="auto"/>
                <w:highlight w:val="none"/>
              </w:rPr>
              <w:t>400</w:t>
            </w:r>
            <w:r>
              <w:rPr>
                <w:rFonts w:hint="eastAsia" w:ascii="宋体" w:hAnsi="宋体" w:cs="宋体"/>
                <w:color w:val="auto"/>
                <w:sz w:val="24"/>
                <w:szCs w:val="24"/>
                <w:highlight w:val="none"/>
              </w:rPr>
              <w:t>万元以上，或主持单项横向课题经费到账</w:t>
            </w:r>
            <w:r>
              <w:rPr>
                <w:rFonts w:hint="eastAsia" w:ascii="宋体" w:hAnsi="宋体" w:cs="宋体"/>
                <w:color w:val="auto"/>
                <w:highlight w:val="none"/>
              </w:rPr>
              <w:t>120</w:t>
            </w:r>
            <w:r>
              <w:rPr>
                <w:rFonts w:hint="eastAsia" w:ascii="宋体" w:hAnsi="宋体" w:cs="宋体"/>
                <w:color w:val="auto"/>
                <w:sz w:val="24"/>
                <w:szCs w:val="24"/>
                <w:highlight w:val="none"/>
              </w:rPr>
              <w:t>万元且获国家授权发明专利</w:t>
            </w:r>
            <w:r>
              <w:rPr>
                <w:rFonts w:hint="eastAsia" w:ascii="宋体" w:hAnsi="宋体" w:cs="宋体"/>
                <w:color w:val="auto"/>
                <w:highlight w:val="none"/>
              </w:rPr>
              <w:t>2</w:t>
            </w:r>
            <w:r>
              <w:rPr>
                <w:rFonts w:hint="eastAsia" w:ascii="宋体" w:hAnsi="宋体" w:cs="宋体"/>
                <w:color w:val="auto"/>
                <w:sz w:val="24"/>
                <w:szCs w:val="24"/>
                <w:highlight w:val="none"/>
              </w:rPr>
              <w:t>项以上，或科研成果转化后形成的产值、利润和经济效益突出，达</w:t>
            </w:r>
            <w:r>
              <w:rPr>
                <w:rFonts w:hint="eastAsia" w:ascii="宋体" w:hAnsi="宋体" w:cs="宋体"/>
                <w:color w:val="auto"/>
                <w:highlight w:val="none"/>
              </w:rPr>
              <w:t>300</w:t>
            </w:r>
            <w:r>
              <w:rPr>
                <w:rFonts w:hint="eastAsia" w:ascii="宋体" w:hAnsi="宋体" w:cs="宋体"/>
                <w:color w:val="auto"/>
                <w:sz w:val="24"/>
                <w:szCs w:val="24"/>
                <w:highlight w:val="none"/>
              </w:rPr>
              <w:t>万以上。</w:t>
            </w:r>
          </w:p>
          <w:p>
            <w:pPr>
              <w:shd w:val="clear" w:color="auto" w:fill="FFFFFF"/>
              <w:spacing w:line="360" w:lineRule="exact"/>
              <w:rPr>
                <w:rFonts w:ascii="宋体" w:hAnsi="宋体" w:cs="宋体"/>
                <w:color w:val="auto"/>
                <w:highlight w:val="none"/>
              </w:rPr>
            </w:pPr>
            <w:r>
              <w:rPr>
                <w:rFonts w:hint="eastAsia" w:ascii="宋体" w:hAnsi="宋体" w:cs="宋体"/>
                <w:color w:val="auto"/>
                <w:sz w:val="24"/>
                <w:szCs w:val="24"/>
                <w:highlight w:val="none"/>
              </w:rPr>
              <w:t>人文社科类：主持单项横向课题到账经费</w:t>
            </w:r>
            <w:r>
              <w:rPr>
                <w:rFonts w:hint="eastAsia" w:ascii="宋体" w:hAnsi="宋体" w:cs="宋体"/>
                <w:color w:val="auto"/>
                <w:highlight w:val="none"/>
              </w:rPr>
              <w:t>120</w:t>
            </w:r>
            <w:r>
              <w:rPr>
                <w:rFonts w:hint="eastAsia" w:ascii="宋体" w:hAnsi="宋体" w:cs="宋体"/>
                <w:color w:val="auto"/>
                <w:sz w:val="24"/>
                <w:szCs w:val="24"/>
                <w:highlight w:val="none"/>
              </w:rPr>
              <w:t>万元，或主持横向课题累计到账经费</w:t>
            </w:r>
            <w:r>
              <w:rPr>
                <w:rFonts w:hint="eastAsia" w:ascii="宋体" w:hAnsi="宋体" w:cs="宋体"/>
                <w:color w:val="auto"/>
                <w:highlight w:val="none"/>
              </w:rPr>
              <w:t>240</w:t>
            </w:r>
            <w:r>
              <w:rPr>
                <w:rFonts w:hint="eastAsia" w:ascii="宋体" w:hAnsi="宋体" w:cs="宋体"/>
                <w:color w:val="auto"/>
                <w:sz w:val="24"/>
                <w:szCs w:val="24"/>
                <w:highlight w:val="none"/>
              </w:rPr>
              <w:t>万元以上，或政策咨询报告被省级以上政府部门采纳或得到省级以上主要领导肯定批示，或在艺术创作与推广方面产生公认的社会影响力。</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③获国家级二等奖以上奖励（限前</w:t>
            </w:r>
            <w:r>
              <w:rPr>
                <w:rFonts w:hint="eastAsia" w:ascii="宋体" w:hAnsi="宋体" w:cs="宋体"/>
                <w:color w:val="auto"/>
                <w:highlight w:val="none"/>
              </w:rPr>
              <w:t>3</w:t>
            </w:r>
            <w:r>
              <w:rPr>
                <w:rFonts w:hint="eastAsia" w:ascii="宋体" w:hAnsi="宋体" w:cs="宋体"/>
                <w:color w:val="auto"/>
                <w:sz w:val="24"/>
                <w:szCs w:val="24"/>
                <w:highlight w:val="none"/>
              </w:rPr>
              <w:t>名）</w:t>
            </w:r>
            <w:r>
              <w:rPr>
                <w:rFonts w:hint="eastAsia" w:ascii="宋体" w:hAnsi="宋体" w:cs="宋体"/>
                <w:color w:val="auto"/>
                <w:highlight w:val="none"/>
              </w:rPr>
              <w:t>1</w:t>
            </w:r>
            <w:r>
              <w:rPr>
                <w:rFonts w:hint="eastAsia" w:ascii="宋体" w:hAnsi="宋体" w:cs="宋体"/>
                <w:color w:val="auto"/>
                <w:sz w:val="24"/>
                <w:szCs w:val="24"/>
                <w:highlight w:val="none"/>
              </w:rPr>
              <w:t>项。</w:t>
            </w:r>
          </w:p>
        </w:tc>
      </w:tr>
    </w:tbl>
    <w:p>
      <w:pPr>
        <w:rPr>
          <w:color w:val="auto"/>
          <w:sz w:val="28"/>
          <w:szCs w:val="28"/>
          <w:highlight w:val="none"/>
        </w:rPr>
      </w:pPr>
    </w:p>
    <w:tbl>
      <w:tblPr>
        <w:tblStyle w:val="10"/>
        <w:tblpPr w:leftFromText="180" w:rightFromText="180" w:vertAnchor="text" w:horzAnchor="page" w:tblpX="1303" w:tblpY="296"/>
        <w:tblOverlap w:val="never"/>
        <w:tblW w:w="101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5"/>
        <w:gridCol w:w="300"/>
        <w:gridCol w:w="93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87" w:hRule="atLeast"/>
        </w:trPr>
        <w:tc>
          <w:tcPr>
            <w:tcW w:w="435" w:type="dxa"/>
            <w:vMerge w:val="restart"/>
            <w:tcBorders>
              <w:top w:val="single" w:color="auto" w:sz="4" w:space="0"/>
              <w:left w:val="single" w:color="auto" w:sz="4" w:space="0"/>
              <w:bottom w:val="single" w:color="auto" w:sz="4" w:space="0"/>
              <w:right w:val="single" w:color="auto" w:sz="4" w:space="0"/>
            </w:tcBorders>
          </w:tcPr>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before="78" w:line="241" w:lineRule="auto"/>
              <w:ind w:right="78"/>
              <w:jc w:val="center"/>
              <w:rPr>
                <w:rFonts w:ascii="宋体" w:hAnsi="宋体" w:eastAsia="宋体" w:cs="宋体"/>
                <w:color w:val="auto"/>
                <w:sz w:val="28"/>
                <w:szCs w:val="28"/>
                <w:highlight w:val="none"/>
              </w:rPr>
            </w:pPr>
            <w:r>
              <w:rPr>
                <w:rFonts w:ascii="宋体" w:hAnsi="宋体" w:eastAsia="宋体" w:cs="宋体"/>
                <w:b/>
                <w:bCs/>
                <w:color w:val="auto"/>
                <w:spacing w:val="-4"/>
                <w:sz w:val="28"/>
                <w:szCs w:val="28"/>
                <w:highlight w:val="none"/>
              </w:rPr>
              <w:t>教学为主型副教授</w:t>
            </w:r>
          </w:p>
        </w:tc>
        <w:tc>
          <w:tcPr>
            <w:tcW w:w="300" w:type="dxa"/>
            <w:tcBorders>
              <w:top w:val="single" w:color="auto" w:sz="4" w:space="0"/>
              <w:left w:val="single" w:color="auto" w:sz="4" w:space="0"/>
              <w:bottom w:val="single" w:color="auto" w:sz="4" w:space="0"/>
              <w:right w:val="single" w:color="auto" w:sz="4" w:space="0"/>
            </w:tcBorders>
          </w:tcPr>
          <w:p>
            <w:pPr>
              <w:spacing w:line="254" w:lineRule="auto"/>
              <w:jc w:val="center"/>
              <w:rPr>
                <w:color w:val="auto"/>
                <w:sz w:val="28"/>
                <w:szCs w:val="28"/>
                <w:highlight w:val="none"/>
              </w:rPr>
            </w:pPr>
          </w:p>
          <w:p>
            <w:pPr>
              <w:spacing w:line="254" w:lineRule="auto"/>
              <w:jc w:val="center"/>
              <w:rPr>
                <w:color w:val="auto"/>
                <w:sz w:val="28"/>
                <w:szCs w:val="28"/>
                <w:highlight w:val="none"/>
              </w:rPr>
            </w:pPr>
          </w:p>
          <w:p>
            <w:pPr>
              <w:spacing w:line="254" w:lineRule="auto"/>
              <w:jc w:val="center"/>
              <w:rPr>
                <w:color w:val="auto"/>
                <w:sz w:val="28"/>
                <w:szCs w:val="28"/>
                <w:highlight w:val="none"/>
              </w:rPr>
            </w:pPr>
          </w:p>
          <w:p>
            <w:pPr>
              <w:spacing w:line="254" w:lineRule="auto"/>
              <w:jc w:val="center"/>
              <w:rPr>
                <w:color w:val="auto"/>
                <w:sz w:val="28"/>
                <w:szCs w:val="28"/>
                <w:highlight w:val="none"/>
              </w:rPr>
            </w:pPr>
          </w:p>
          <w:p>
            <w:pPr>
              <w:spacing w:line="254" w:lineRule="auto"/>
              <w:jc w:val="center"/>
              <w:rPr>
                <w:color w:val="auto"/>
                <w:sz w:val="28"/>
                <w:szCs w:val="28"/>
                <w:highlight w:val="none"/>
              </w:rPr>
            </w:pPr>
          </w:p>
          <w:p>
            <w:pPr>
              <w:spacing w:before="78" w:line="255" w:lineRule="auto"/>
              <w:ind w:right="134"/>
              <w:jc w:val="center"/>
              <w:rPr>
                <w:rFonts w:ascii="宋体" w:hAnsi="宋体" w:eastAsia="宋体" w:cs="宋体"/>
                <w:color w:val="auto"/>
                <w:sz w:val="28"/>
                <w:szCs w:val="28"/>
                <w:highlight w:val="none"/>
              </w:rPr>
            </w:pPr>
            <w:r>
              <w:rPr>
                <w:rFonts w:hint="eastAsia" w:ascii="宋体" w:hAnsi="宋体" w:cs="宋体"/>
                <w:color w:val="auto"/>
                <w:sz w:val="24"/>
                <w:szCs w:val="24"/>
                <w:highlight w:val="none"/>
              </w:rPr>
              <w:t>专业工作能力</w:t>
            </w:r>
          </w:p>
        </w:tc>
        <w:tc>
          <w:tcPr>
            <w:tcW w:w="9375" w:type="dxa"/>
            <w:tcBorders>
              <w:top w:val="single" w:color="auto" w:sz="4" w:space="0"/>
              <w:left w:val="single" w:color="auto" w:sz="4" w:space="0"/>
              <w:bottom w:val="single" w:color="auto" w:sz="4" w:space="0"/>
              <w:right w:val="single" w:color="auto" w:sz="4" w:space="0"/>
            </w:tcBorders>
          </w:tcPr>
          <w:p>
            <w:pPr>
              <w:spacing w:line="360" w:lineRule="exact"/>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任现职以来，专业工作能力应具备以下条件：</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①任现职近</w:t>
            </w:r>
            <w:r>
              <w:rPr>
                <w:rFonts w:hint="eastAsia" w:ascii="宋体" w:hAnsi="宋体" w:cs="宋体"/>
                <w:color w:val="auto"/>
                <w:highlight w:val="none"/>
              </w:rPr>
              <w:t>5</w:t>
            </w:r>
            <w:r>
              <w:rPr>
                <w:rFonts w:hint="eastAsia" w:ascii="宋体" w:hAnsi="宋体" w:cs="宋体"/>
                <w:color w:val="auto"/>
                <w:sz w:val="24"/>
                <w:szCs w:val="24"/>
                <w:highlight w:val="none"/>
              </w:rPr>
              <w:t>年来，系统担任</w:t>
            </w:r>
            <w:r>
              <w:rPr>
                <w:rFonts w:hint="eastAsia" w:ascii="宋体" w:hAnsi="宋体" w:cs="宋体"/>
                <w:color w:val="auto"/>
                <w:highlight w:val="none"/>
              </w:rPr>
              <w:t>1</w:t>
            </w:r>
            <w:r>
              <w:rPr>
                <w:rFonts w:hint="eastAsia" w:ascii="宋体" w:hAnsi="宋体" w:cs="宋体"/>
                <w:color w:val="auto"/>
                <w:sz w:val="24"/>
                <w:szCs w:val="24"/>
                <w:highlight w:val="none"/>
              </w:rPr>
              <w:t>门公共课、基础课或</w:t>
            </w:r>
            <w:r>
              <w:rPr>
                <w:rFonts w:hint="eastAsia" w:ascii="宋体" w:hAnsi="宋体" w:cs="宋体"/>
                <w:color w:val="auto"/>
                <w:highlight w:val="none"/>
              </w:rPr>
              <w:t>2</w:t>
            </w:r>
            <w:r>
              <w:rPr>
                <w:rFonts w:hint="eastAsia" w:ascii="宋体" w:hAnsi="宋体" w:cs="宋体"/>
                <w:color w:val="auto"/>
                <w:sz w:val="24"/>
                <w:szCs w:val="24"/>
                <w:highlight w:val="none"/>
              </w:rPr>
              <w:t>门以上专业课程的讲授工作，每学年至少讲授</w:t>
            </w:r>
            <w:r>
              <w:rPr>
                <w:rFonts w:hint="eastAsia" w:ascii="宋体" w:hAnsi="宋体" w:cs="宋体"/>
                <w:color w:val="auto"/>
                <w:highlight w:val="none"/>
              </w:rPr>
              <w:t>1</w:t>
            </w:r>
            <w:r>
              <w:rPr>
                <w:rFonts w:hint="eastAsia" w:ascii="宋体" w:hAnsi="宋体" w:cs="宋体"/>
                <w:color w:val="auto"/>
                <w:sz w:val="24"/>
                <w:szCs w:val="24"/>
                <w:highlight w:val="none"/>
              </w:rPr>
              <w:t>门全日制普通本科生课程，完成学校规定的教学、科研等工作任务。将思想政治教育较好融入教学，在学生培养工作中做出</w:t>
            </w:r>
            <w:r>
              <w:rPr>
                <w:rFonts w:hint="eastAsia" w:ascii="宋体" w:hAnsi="宋体" w:eastAsia="宋体" w:cs="宋体"/>
                <w:color w:val="auto"/>
                <w:sz w:val="24"/>
                <w:szCs w:val="24"/>
                <w:highlight w:val="none"/>
              </w:rPr>
              <w:t>较大</w:t>
            </w:r>
            <w:r>
              <w:rPr>
                <w:rFonts w:hint="eastAsia" w:ascii="宋体" w:hAnsi="宋体" w:cs="宋体"/>
                <w:color w:val="auto"/>
                <w:sz w:val="24"/>
                <w:szCs w:val="24"/>
                <w:highlight w:val="none"/>
              </w:rPr>
              <w:t>贡献。</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②年均教学工作量不少于</w:t>
            </w:r>
            <w:r>
              <w:rPr>
                <w:rFonts w:hint="eastAsia" w:ascii="宋体" w:hAnsi="宋体" w:eastAsia="宋体" w:cs="宋体"/>
                <w:color w:val="auto"/>
                <w:highlight w:val="none"/>
              </w:rPr>
              <w:t>320</w:t>
            </w:r>
            <w:r>
              <w:rPr>
                <w:rFonts w:hint="eastAsia" w:ascii="宋体" w:hAnsi="宋体" w:eastAsia="宋体" w:cs="宋体"/>
                <w:color w:val="auto"/>
                <w:sz w:val="24"/>
                <w:szCs w:val="24"/>
                <w:highlight w:val="none"/>
              </w:rPr>
              <w:t>标时</w:t>
            </w:r>
            <w:r>
              <w:rPr>
                <w:rFonts w:hint="eastAsia" w:ascii="宋体" w:hAnsi="宋体" w:cs="宋体"/>
                <w:color w:val="auto"/>
                <w:sz w:val="24"/>
                <w:szCs w:val="24"/>
                <w:highlight w:val="none"/>
              </w:rPr>
              <w:t>（其中课堂教学工作量不少于</w:t>
            </w:r>
            <w:r>
              <w:rPr>
                <w:rFonts w:hint="eastAsia" w:ascii="宋体" w:hAnsi="宋体" w:eastAsia="宋体" w:cs="宋体"/>
                <w:color w:val="auto"/>
                <w:highlight w:val="none"/>
              </w:rPr>
              <w:t>256</w:t>
            </w:r>
            <w:r>
              <w:rPr>
                <w:rFonts w:hint="eastAsia" w:ascii="宋体" w:hAnsi="宋体" w:eastAsia="宋体" w:cs="宋体"/>
                <w:color w:val="auto"/>
                <w:sz w:val="24"/>
                <w:szCs w:val="24"/>
                <w:highlight w:val="none"/>
              </w:rPr>
              <w:t>标时</w:t>
            </w:r>
            <w:r>
              <w:rPr>
                <w:rFonts w:hint="eastAsia" w:ascii="宋体" w:hAnsi="宋体" w:cs="宋体"/>
                <w:color w:val="auto"/>
                <w:sz w:val="24"/>
                <w:szCs w:val="24"/>
                <w:highlight w:val="none"/>
              </w:rPr>
              <w:t>）。</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③任现职以来年度教学质量考核均为合格以上，且近五年来获学校年度教学质量考核优秀</w:t>
            </w:r>
            <w:r>
              <w:rPr>
                <w:rFonts w:hint="eastAsia" w:ascii="宋体" w:hAnsi="宋体" w:cs="宋体"/>
                <w:color w:val="auto"/>
                <w:highlight w:val="none"/>
              </w:rPr>
              <w:t>3</w:t>
            </w:r>
            <w:r>
              <w:rPr>
                <w:rFonts w:hint="eastAsia" w:ascii="宋体" w:hAnsi="宋体" w:cs="宋体"/>
                <w:color w:val="auto"/>
                <w:sz w:val="24"/>
                <w:szCs w:val="24"/>
                <w:highlight w:val="none"/>
              </w:rPr>
              <w:t>次以上。</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④组织课堂讨论、指导实习实训、社会调查及指导毕业论文、毕业设计等各个教学环节的工作。遵循教学规律，能根据教学大纲的要求积极改革教学方法，不断更新教学内容，教学效果优秀。积极开展本学科教育教学改革和教学法研究，教学改革成绩显著。</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⑤任现职期间有1年以上教学科研管理工作经历。指导青年教师、进修教师学习1年以上。</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⑥主持或积极参与学院、系学科专业建设、人才培养方案制定、专业评估、产业学院建设、实验室建设等各项院系公共工作。</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⑦经学校认定的“双师型”教师或在国家机关、企事业单位、基层挂职工作6个月以上并产生较好的社会经济效益或取得突出成绩的。</w:t>
            </w:r>
          </w:p>
          <w:p>
            <w:pPr>
              <w:spacing w:line="360" w:lineRule="exact"/>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⑧参与校</w:t>
            </w:r>
            <w:r>
              <w:rPr>
                <w:rFonts w:hint="eastAsia" w:ascii="宋体" w:hAnsi="宋体" w:cs="宋体"/>
                <w:color w:val="auto"/>
                <w:sz w:val="24"/>
                <w:szCs w:val="24"/>
                <w:highlight w:val="none"/>
                <w:lang w:val="en-US" w:eastAsia="zh-CN"/>
              </w:rPr>
              <w:t>级以上单位</w:t>
            </w:r>
            <w:r>
              <w:rPr>
                <w:rFonts w:hint="eastAsia" w:ascii="宋体" w:hAnsi="宋体" w:cs="宋体"/>
                <w:color w:val="auto"/>
                <w:sz w:val="24"/>
                <w:szCs w:val="24"/>
                <w:highlight w:val="none"/>
              </w:rPr>
              <w:t>组织的各类竞赛</w:t>
            </w:r>
            <w:r>
              <w:rPr>
                <w:rFonts w:hint="eastAsia" w:ascii="宋体" w:hAnsi="宋体" w:cs="宋体"/>
                <w:color w:val="auto"/>
                <w:sz w:val="24"/>
                <w:szCs w:val="24"/>
                <w:highlight w:val="none"/>
                <w:lang w:val="en-US" w:eastAsia="zh-CN"/>
              </w:rPr>
              <w:t>一次以上</w:t>
            </w:r>
            <w:r>
              <w:rPr>
                <w:rFonts w:hint="eastAsia" w:ascii="宋体" w:hAnsi="宋体" w:cs="宋体"/>
                <w:color w:val="auto"/>
                <w:sz w:val="24"/>
                <w:szCs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4" w:hRule="atLeast"/>
        </w:trPr>
        <w:tc>
          <w:tcPr>
            <w:tcW w:w="435" w:type="dxa"/>
            <w:vMerge w:val="continue"/>
            <w:tcBorders>
              <w:top w:val="single" w:color="auto" w:sz="4" w:space="0"/>
              <w:left w:val="single" w:color="auto" w:sz="4" w:space="0"/>
              <w:bottom w:val="single" w:color="auto" w:sz="4" w:space="0"/>
              <w:right w:val="single" w:color="auto" w:sz="4" w:space="0"/>
            </w:tcBorders>
          </w:tcPr>
          <w:p>
            <w:pPr>
              <w:jc w:val="center"/>
              <w:rPr>
                <w:color w:val="auto"/>
                <w:sz w:val="28"/>
                <w:szCs w:val="28"/>
                <w:highlight w:val="none"/>
              </w:rPr>
            </w:pPr>
          </w:p>
        </w:tc>
        <w:tc>
          <w:tcPr>
            <w:tcW w:w="300" w:type="dxa"/>
            <w:tcBorders>
              <w:top w:val="single" w:color="auto" w:sz="4" w:space="0"/>
              <w:left w:val="single" w:color="auto" w:sz="4" w:space="0"/>
              <w:bottom w:val="single" w:color="auto" w:sz="4" w:space="0"/>
              <w:right w:val="single" w:color="auto" w:sz="4" w:space="0"/>
            </w:tcBorders>
          </w:tcPr>
          <w:p>
            <w:pPr>
              <w:spacing w:line="288" w:lineRule="auto"/>
              <w:jc w:val="center"/>
              <w:rPr>
                <w:color w:val="auto"/>
                <w:sz w:val="28"/>
                <w:szCs w:val="28"/>
                <w:highlight w:val="none"/>
              </w:rPr>
            </w:pPr>
          </w:p>
          <w:p>
            <w:pPr>
              <w:spacing w:line="288" w:lineRule="auto"/>
              <w:jc w:val="center"/>
              <w:rPr>
                <w:color w:val="auto"/>
                <w:sz w:val="28"/>
                <w:szCs w:val="28"/>
                <w:highlight w:val="none"/>
              </w:rPr>
            </w:pPr>
          </w:p>
          <w:p>
            <w:pPr>
              <w:spacing w:before="12" w:line="220" w:lineRule="auto"/>
              <w:jc w:val="center"/>
              <w:rPr>
                <w:rFonts w:ascii="宋体" w:hAnsi="宋体" w:eastAsia="宋体" w:cs="宋体"/>
                <w:color w:val="auto"/>
                <w:sz w:val="28"/>
                <w:szCs w:val="28"/>
                <w:highlight w:val="none"/>
              </w:rPr>
            </w:pPr>
            <w:r>
              <w:rPr>
                <w:rFonts w:hint="eastAsia" w:ascii="宋体" w:hAnsi="宋体" w:cs="宋体"/>
                <w:color w:val="auto"/>
                <w:sz w:val="24"/>
                <w:szCs w:val="24"/>
                <w:highlight w:val="none"/>
              </w:rPr>
              <w:t>业绩与科研成果</w:t>
            </w:r>
          </w:p>
        </w:tc>
        <w:tc>
          <w:tcPr>
            <w:tcW w:w="9375" w:type="dxa"/>
            <w:tcBorders>
              <w:top w:val="single" w:color="auto" w:sz="4" w:space="0"/>
              <w:left w:val="single" w:color="auto" w:sz="4" w:space="0"/>
              <w:bottom w:val="single" w:color="auto" w:sz="4" w:space="0"/>
              <w:right w:val="single" w:color="auto" w:sz="4" w:space="0"/>
            </w:tcBorders>
          </w:tcPr>
          <w:p>
            <w:pPr>
              <w:spacing w:before="101" w:line="230" w:lineRule="auto"/>
              <w:ind w:right="121"/>
              <w:rPr>
                <w:rFonts w:ascii="宋体" w:hAnsi="宋体" w:cs="宋体"/>
                <w:b/>
                <w:bCs/>
                <w:color w:val="auto"/>
                <w:sz w:val="24"/>
                <w:szCs w:val="24"/>
                <w:highlight w:val="none"/>
              </w:rPr>
            </w:pPr>
            <w:r>
              <w:rPr>
                <w:rFonts w:hint="eastAsia" w:ascii="宋体" w:hAnsi="宋体" w:cs="宋体"/>
                <w:b/>
                <w:bCs/>
                <w:color w:val="auto"/>
                <w:sz w:val="24"/>
                <w:szCs w:val="24"/>
                <w:highlight w:val="none"/>
              </w:rPr>
              <w:t>任现职以来，业绩与科研成果应具备下列条件的第①条，并同时具备②至</w:t>
            </w:r>
            <w:r>
              <w:rPr>
                <w:rFonts w:hint="eastAsia" w:ascii="宋体" w:hAnsi="宋体" w:eastAsia="宋体" w:cs="宋体"/>
                <w:b/>
                <w:bCs/>
                <w:color w:val="auto"/>
                <w:sz w:val="24"/>
                <w:szCs w:val="24"/>
                <w:highlight w:val="none"/>
              </w:rPr>
              <w:t>⑧</w:t>
            </w:r>
            <w:r>
              <w:rPr>
                <w:rFonts w:hint="eastAsia" w:ascii="宋体" w:hAnsi="宋体" w:cs="宋体"/>
                <w:b/>
                <w:bCs/>
                <w:color w:val="auto"/>
                <w:sz w:val="24"/>
                <w:szCs w:val="24"/>
                <w:highlight w:val="none"/>
              </w:rPr>
              <w:t>条之一：</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①发表学术论文</w:t>
            </w:r>
            <w:r>
              <w:rPr>
                <w:rFonts w:hint="eastAsia" w:ascii="宋体" w:hAnsi="宋体" w:cs="宋体"/>
                <w:color w:val="auto"/>
                <w:highlight w:val="none"/>
              </w:rPr>
              <w:t>4</w:t>
            </w:r>
            <w:r>
              <w:rPr>
                <w:rFonts w:hint="eastAsia" w:ascii="宋体" w:hAnsi="宋体" w:cs="宋体"/>
                <w:color w:val="auto"/>
                <w:sz w:val="24"/>
                <w:szCs w:val="24"/>
                <w:highlight w:val="none"/>
              </w:rPr>
              <w:t>篇以上（须含教学研究论文</w:t>
            </w:r>
            <w:r>
              <w:rPr>
                <w:rFonts w:hint="eastAsia" w:ascii="宋体" w:hAnsi="宋体" w:cs="宋体"/>
                <w:color w:val="auto"/>
                <w:highlight w:val="none"/>
              </w:rPr>
              <w:t>1</w:t>
            </w:r>
            <w:r>
              <w:rPr>
                <w:rFonts w:hint="eastAsia" w:ascii="宋体" w:hAnsi="宋体" w:cs="宋体"/>
                <w:color w:val="auto"/>
                <w:sz w:val="24"/>
                <w:szCs w:val="24"/>
                <w:highlight w:val="none"/>
              </w:rPr>
              <w:t>篇以上），其中至少</w:t>
            </w:r>
            <w:r>
              <w:rPr>
                <w:rFonts w:hint="eastAsia" w:ascii="宋体" w:hAnsi="宋体" w:cs="宋体"/>
                <w:color w:val="auto"/>
                <w:highlight w:val="none"/>
              </w:rPr>
              <w:t>2</w:t>
            </w:r>
            <w:r>
              <w:rPr>
                <w:rFonts w:hint="eastAsia" w:ascii="宋体" w:hAnsi="宋体" w:cs="宋体"/>
                <w:color w:val="auto"/>
                <w:sz w:val="24"/>
                <w:szCs w:val="24"/>
                <w:highlight w:val="none"/>
              </w:rPr>
              <w:t>篇（外语、音乐、美术专业至少</w:t>
            </w:r>
            <w:r>
              <w:rPr>
                <w:rFonts w:hint="eastAsia" w:ascii="宋体" w:hAnsi="宋体" w:cs="宋体"/>
                <w:color w:val="auto"/>
                <w:highlight w:val="none"/>
              </w:rPr>
              <w:t>1</w:t>
            </w:r>
            <w:r>
              <w:rPr>
                <w:rFonts w:hint="eastAsia" w:ascii="宋体" w:hAnsi="宋体" w:cs="宋体"/>
                <w:color w:val="auto"/>
                <w:sz w:val="24"/>
                <w:szCs w:val="24"/>
                <w:highlight w:val="none"/>
              </w:rPr>
              <w:t>篇）发表在国内核心期刊上或被国外权威期刊收录；或发表教学研究论文</w:t>
            </w:r>
            <w:r>
              <w:rPr>
                <w:rFonts w:hint="eastAsia" w:ascii="宋体" w:hAnsi="宋体" w:cs="宋体"/>
                <w:color w:val="auto"/>
                <w:highlight w:val="none"/>
              </w:rPr>
              <w:t>1</w:t>
            </w:r>
            <w:r>
              <w:rPr>
                <w:rFonts w:hint="eastAsia" w:ascii="宋体" w:hAnsi="宋体" w:cs="宋体"/>
                <w:color w:val="auto"/>
                <w:sz w:val="24"/>
                <w:szCs w:val="24"/>
                <w:highlight w:val="none"/>
              </w:rPr>
              <w:t>篇以上，且公开出版学术著作</w:t>
            </w:r>
            <w:r>
              <w:rPr>
                <w:rFonts w:hint="eastAsia" w:ascii="宋体" w:hAnsi="宋体" w:cs="宋体"/>
                <w:color w:val="auto"/>
                <w:highlight w:val="none"/>
              </w:rPr>
              <w:t>(</w:t>
            </w:r>
            <w:r>
              <w:rPr>
                <w:rFonts w:hint="eastAsia" w:ascii="宋体" w:hAnsi="宋体" w:cs="宋体"/>
                <w:color w:val="auto"/>
                <w:sz w:val="24"/>
                <w:szCs w:val="24"/>
                <w:highlight w:val="none"/>
              </w:rPr>
              <w:t>含合著、编著或第一主编的教材</w:t>
            </w:r>
            <w:r>
              <w:rPr>
                <w:rFonts w:hint="eastAsia" w:ascii="宋体" w:hAnsi="宋体" w:cs="宋体"/>
                <w:color w:val="auto"/>
                <w:highlight w:val="none"/>
              </w:rPr>
              <w:t>)1</w:t>
            </w:r>
            <w:r>
              <w:rPr>
                <w:rFonts w:hint="eastAsia" w:ascii="宋体" w:hAnsi="宋体" w:cs="宋体"/>
                <w:color w:val="auto"/>
                <w:sz w:val="24"/>
                <w:szCs w:val="24"/>
                <w:highlight w:val="none"/>
              </w:rPr>
              <w:t>部。</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②主持完成校级教改项目</w:t>
            </w:r>
            <w:r>
              <w:rPr>
                <w:rFonts w:hint="eastAsia" w:ascii="宋体" w:hAnsi="宋体" w:cs="宋体"/>
                <w:color w:val="auto"/>
                <w:highlight w:val="none"/>
              </w:rPr>
              <w:t>1</w:t>
            </w:r>
            <w:r>
              <w:rPr>
                <w:rFonts w:hint="eastAsia" w:ascii="宋体" w:hAnsi="宋体" w:cs="宋体"/>
                <w:color w:val="auto"/>
                <w:sz w:val="24"/>
                <w:szCs w:val="24"/>
                <w:highlight w:val="none"/>
              </w:rPr>
              <w:t>项，或参与省部级以上教改项目</w:t>
            </w:r>
            <w:r>
              <w:rPr>
                <w:rFonts w:hint="eastAsia" w:ascii="宋体" w:hAnsi="宋体" w:cs="宋体"/>
                <w:color w:val="auto"/>
                <w:highlight w:val="none"/>
              </w:rPr>
              <w:t>1</w:t>
            </w:r>
            <w:r>
              <w:rPr>
                <w:rFonts w:hint="eastAsia" w:ascii="宋体" w:hAnsi="宋体" w:cs="宋体"/>
                <w:color w:val="auto"/>
                <w:sz w:val="24"/>
                <w:szCs w:val="24"/>
                <w:highlight w:val="none"/>
              </w:rPr>
              <w:t>项（限前</w:t>
            </w:r>
            <w:r>
              <w:rPr>
                <w:rFonts w:hint="eastAsia" w:ascii="宋体" w:hAnsi="宋体" w:cs="宋体"/>
                <w:color w:val="auto"/>
                <w:highlight w:val="none"/>
              </w:rPr>
              <w:t>3</w:t>
            </w:r>
            <w:r>
              <w:rPr>
                <w:rFonts w:hint="eastAsia" w:ascii="宋体" w:hAnsi="宋体" w:cs="宋体"/>
                <w:color w:val="auto"/>
                <w:sz w:val="24"/>
                <w:szCs w:val="24"/>
                <w:highlight w:val="none"/>
              </w:rPr>
              <w:t>名）</w:t>
            </w:r>
            <w:r>
              <w:rPr>
                <w:rFonts w:hint="eastAsia" w:ascii="宋体" w:hAnsi="宋体" w:eastAsia="宋体" w:cs="宋体"/>
                <w:color w:val="auto"/>
                <w:sz w:val="24"/>
                <w:szCs w:val="24"/>
                <w:highlight w:val="none"/>
                <w:lang w:val="en-US" w:eastAsia="zh-CN"/>
              </w:rPr>
              <w:t>或</w:t>
            </w:r>
            <w:r>
              <w:rPr>
                <w:rFonts w:hint="eastAsia" w:ascii="宋体" w:hAnsi="宋体" w:cs="宋体"/>
                <w:color w:val="auto"/>
                <w:sz w:val="24"/>
                <w:szCs w:val="24"/>
                <w:highlight w:val="none"/>
              </w:rPr>
              <w:t>参与省部级以上教改项目</w:t>
            </w:r>
            <w:r>
              <w:rPr>
                <w:rFonts w:hint="eastAsia" w:ascii="宋体" w:hAnsi="宋体" w:eastAsia="宋体" w:cs="宋体"/>
                <w:color w:val="auto"/>
                <w:sz w:val="24"/>
                <w:szCs w:val="24"/>
                <w:highlight w:val="none"/>
                <w:lang w:val="en-US" w:eastAsia="zh-CN"/>
              </w:rPr>
              <w:t>2</w:t>
            </w:r>
            <w:r>
              <w:rPr>
                <w:rFonts w:hint="eastAsia" w:ascii="宋体" w:hAnsi="宋体" w:cs="宋体"/>
                <w:color w:val="auto"/>
                <w:sz w:val="24"/>
                <w:szCs w:val="24"/>
                <w:highlight w:val="none"/>
              </w:rPr>
              <w:t>项（限前</w:t>
            </w:r>
            <w:r>
              <w:rPr>
                <w:rFonts w:hint="eastAsia" w:ascii="宋体" w:hAnsi="宋体" w:eastAsia="宋体" w:cs="宋体"/>
                <w:color w:val="auto"/>
                <w:sz w:val="24"/>
                <w:szCs w:val="24"/>
                <w:highlight w:val="none"/>
                <w:lang w:val="en-US" w:eastAsia="zh-CN"/>
              </w:rPr>
              <w:t>5</w:t>
            </w:r>
            <w:r>
              <w:rPr>
                <w:rFonts w:hint="eastAsia" w:ascii="宋体" w:hAnsi="宋体" w:cs="宋体"/>
                <w:color w:val="auto"/>
                <w:sz w:val="24"/>
                <w:szCs w:val="24"/>
                <w:highlight w:val="none"/>
              </w:rPr>
              <w:t>名）。</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③获省部级以上教学成果奖</w:t>
            </w:r>
            <w:r>
              <w:rPr>
                <w:rFonts w:hint="eastAsia" w:ascii="宋体" w:hAnsi="宋体" w:cs="宋体"/>
                <w:color w:val="auto"/>
                <w:highlight w:val="none"/>
              </w:rPr>
              <w:t>1</w:t>
            </w:r>
            <w:r>
              <w:rPr>
                <w:rFonts w:hint="eastAsia" w:ascii="宋体" w:hAnsi="宋体" w:cs="宋体"/>
                <w:color w:val="auto"/>
                <w:sz w:val="24"/>
                <w:szCs w:val="24"/>
                <w:highlight w:val="none"/>
              </w:rPr>
              <w:t>项（排名前</w:t>
            </w:r>
            <w:r>
              <w:rPr>
                <w:rFonts w:hint="eastAsia" w:ascii="宋体" w:hAnsi="宋体" w:cs="宋体"/>
                <w:color w:val="auto"/>
                <w:highlight w:val="none"/>
              </w:rPr>
              <w:t>3</w:t>
            </w:r>
            <w:r>
              <w:rPr>
                <w:rFonts w:hint="eastAsia" w:ascii="宋体" w:hAnsi="宋体" w:cs="宋体"/>
                <w:color w:val="auto"/>
                <w:sz w:val="24"/>
                <w:szCs w:val="24"/>
                <w:highlight w:val="none"/>
              </w:rPr>
              <w:t>）</w:t>
            </w:r>
            <w:r>
              <w:rPr>
                <w:rFonts w:hint="eastAsia" w:ascii="宋体" w:hAnsi="宋体" w:eastAsia="宋体" w:cs="宋体"/>
                <w:color w:val="auto"/>
                <w:sz w:val="24"/>
                <w:szCs w:val="24"/>
                <w:highlight w:val="none"/>
                <w:lang w:val="en-US" w:eastAsia="zh-CN"/>
              </w:rPr>
              <w:t>或</w:t>
            </w:r>
            <w:r>
              <w:rPr>
                <w:rFonts w:hint="eastAsia" w:ascii="宋体" w:hAnsi="宋体" w:cs="宋体"/>
                <w:color w:val="auto"/>
                <w:sz w:val="24"/>
                <w:szCs w:val="24"/>
                <w:highlight w:val="none"/>
              </w:rPr>
              <w:t>获省部级以上教学成果奖</w:t>
            </w:r>
            <w:r>
              <w:rPr>
                <w:rFonts w:hint="eastAsia" w:ascii="宋体" w:hAnsi="宋体" w:eastAsia="宋体" w:cs="宋体"/>
                <w:color w:val="auto"/>
                <w:sz w:val="24"/>
                <w:szCs w:val="24"/>
                <w:highlight w:val="none"/>
                <w:lang w:val="en-US" w:eastAsia="zh-CN"/>
              </w:rPr>
              <w:t>2</w:t>
            </w:r>
            <w:r>
              <w:rPr>
                <w:rFonts w:hint="eastAsia" w:ascii="宋体" w:hAnsi="宋体" w:cs="宋体"/>
                <w:color w:val="auto"/>
                <w:sz w:val="24"/>
                <w:szCs w:val="24"/>
                <w:highlight w:val="none"/>
              </w:rPr>
              <w:t>项（排名前</w:t>
            </w:r>
            <w:r>
              <w:rPr>
                <w:rFonts w:hint="eastAsia" w:ascii="宋体" w:hAnsi="宋体" w:eastAsia="宋体" w:cs="宋体"/>
                <w:color w:val="auto"/>
                <w:sz w:val="24"/>
                <w:szCs w:val="24"/>
                <w:highlight w:val="none"/>
                <w:lang w:val="en-US" w:eastAsia="zh-CN"/>
              </w:rPr>
              <w:t>5</w:t>
            </w:r>
            <w:r>
              <w:rPr>
                <w:rFonts w:hint="eastAsia" w:ascii="宋体" w:hAnsi="宋体" w:cs="宋体"/>
                <w:color w:val="auto"/>
                <w:sz w:val="24"/>
                <w:szCs w:val="24"/>
                <w:highlight w:val="none"/>
              </w:rPr>
              <w:t>）；或作为负责人获校级教学成果奖</w:t>
            </w:r>
            <w:r>
              <w:rPr>
                <w:rFonts w:hint="eastAsia" w:ascii="宋体" w:hAnsi="宋体" w:cs="宋体"/>
                <w:color w:val="auto"/>
                <w:highlight w:val="none"/>
              </w:rPr>
              <w:t>1</w:t>
            </w:r>
            <w:r>
              <w:rPr>
                <w:rFonts w:hint="eastAsia" w:ascii="宋体" w:hAnsi="宋体" w:cs="宋体"/>
                <w:color w:val="auto"/>
                <w:sz w:val="24"/>
                <w:szCs w:val="24"/>
                <w:highlight w:val="none"/>
              </w:rPr>
              <w:t>项。</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④省级以上教学质量工程项目的主要完成人（限前</w:t>
            </w:r>
            <w:r>
              <w:rPr>
                <w:rFonts w:hint="eastAsia" w:ascii="宋体" w:hAnsi="宋体" w:eastAsia="宋体" w:cs="宋体"/>
                <w:color w:val="auto"/>
                <w:sz w:val="24"/>
                <w:szCs w:val="24"/>
                <w:highlight w:val="none"/>
                <w:lang w:val="en-US" w:eastAsia="zh-CN"/>
              </w:rPr>
              <w:t>6</w:t>
            </w:r>
            <w:r>
              <w:rPr>
                <w:rFonts w:hint="eastAsia" w:ascii="宋体" w:hAnsi="宋体" w:cs="宋体"/>
                <w:color w:val="auto"/>
                <w:sz w:val="24"/>
                <w:szCs w:val="24"/>
                <w:highlight w:val="none"/>
              </w:rPr>
              <w:t>名）。</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⑤获省级以上教学竞赛三等奖以上</w:t>
            </w:r>
            <w:r>
              <w:rPr>
                <w:rFonts w:hint="eastAsia" w:ascii="宋体" w:hAnsi="宋体" w:cs="宋体"/>
                <w:color w:val="auto"/>
                <w:highlight w:val="none"/>
              </w:rPr>
              <w:t>1</w:t>
            </w:r>
            <w:r>
              <w:rPr>
                <w:rFonts w:hint="eastAsia" w:ascii="宋体" w:hAnsi="宋体" w:cs="宋体"/>
                <w:color w:val="auto"/>
                <w:sz w:val="24"/>
                <w:szCs w:val="24"/>
                <w:highlight w:val="none"/>
              </w:rPr>
              <w:t>项。</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⑥指导学生参加专业竞赛获国家级奖（在指导教师中排前</w:t>
            </w:r>
            <w:r>
              <w:rPr>
                <w:rFonts w:hint="eastAsia" w:ascii="宋体" w:hAnsi="宋体" w:cs="宋体"/>
                <w:color w:val="auto"/>
                <w:highlight w:val="none"/>
              </w:rPr>
              <w:t>5</w:t>
            </w:r>
            <w:r>
              <w:rPr>
                <w:rFonts w:hint="eastAsia" w:ascii="宋体" w:hAnsi="宋体" w:cs="宋体"/>
                <w:color w:val="auto"/>
                <w:sz w:val="24"/>
                <w:szCs w:val="24"/>
                <w:highlight w:val="none"/>
              </w:rPr>
              <w:t>名）、省部级奖二等奖</w:t>
            </w:r>
            <w:r>
              <w:rPr>
                <w:rFonts w:hint="eastAsia" w:ascii="宋体" w:hAnsi="宋体" w:cs="宋体"/>
                <w:color w:val="auto"/>
                <w:highlight w:val="none"/>
              </w:rPr>
              <w:t>1</w:t>
            </w:r>
            <w:r>
              <w:rPr>
                <w:rFonts w:hint="eastAsia" w:ascii="宋体" w:hAnsi="宋体" w:cs="宋体"/>
                <w:color w:val="auto"/>
                <w:sz w:val="24"/>
                <w:szCs w:val="24"/>
                <w:highlight w:val="none"/>
              </w:rPr>
              <w:t>项或三等奖</w:t>
            </w:r>
            <w:r>
              <w:rPr>
                <w:rFonts w:hint="eastAsia" w:ascii="宋体" w:hAnsi="宋体" w:cs="宋体"/>
                <w:color w:val="auto"/>
                <w:highlight w:val="none"/>
              </w:rPr>
              <w:t>2</w:t>
            </w:r>
            <w:r>
              <w:rPr>
                <w:rFonts w:hint="eastAsia" w:ascii="宋体" w:hAnsi="宋体" w:cs="宋体"/>
                <w:color w:val="auto"/>
                <w:sz w:val="24"/>
                <w:szCs w:val="24"/>
                <w:highlight w:val="none"/>
              </w:rPr>
              <w:t>项（在指导教师中排前</w:t>
            </w:r>
            <w:r>
              <w:rPr>
                <w:rFonts w:hint="eastAsia" w:ascii="宋体" w:hAnsi="宋体" w:cs="宋体"/>
                <w:color w:val="auto"/>
                <w:highlight w:val="none"/>
              </w:rPr>
              <w:t>2</w:t>
            </w:r>
            <w:r>
              <w:rPr>
                <w:rFonts w:hint="eastAsia" w:ascii="宋体" w:hAnsi="宋体" w:cs="宋体"/>
                <w:color w:val="auto"/>
                <w:sz w:val="24"/>
                <w:szCs w:val="24"/>
                <w:highlight w:val="none"/>
              </w:rPr>
              <w:t>名）或厅局级一等奖</w:t>
            </w:r>
            <w:r>
              <w:rPr>
                <w:rFonts w:hint="eastAsia" w:ascii="宋体" w:hAnsi="宋体" w:cs="宋体"/>
                <w:color w:val="auto"/>
                <w:highlight w:val="none"/>
              </w:rPr>
              <w:t>1</w:t>
            </w:r>
            <w:r>
              <w:rPr>
                <w:rFonts w:hint="eastAsia" w:ascii="宋体" w:hAnsi="宋体" w:cs="宋体"/>
                <w:color w:val="auto"/>
                <w:sz w:val="24"/>
                <w:szCs w:val="24"/>
                <w:highlight w:val="none"/>
              </w:rPr>
              <w:t>项（为第一指导教师）。</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⑦理工科类：主持横向课题单项到账经费</w:t>
            </w:r>
            <w:r>
              <w:rPr>
                <w:rFonts w:hint="eastAsia" w:ascii="宋体" w:hAnsi="宋体" w:eastAsia="宋体" w:cs="宋体"/>
                <w:color w:val="auto"/>
                <w:sz w:val="24"/>
                <w:szCs w:val="24"/>
                <w:highlight w:val="none"/>
                <w:lang w:val="en-US" w:eastAsia="zh-CN"/>
              </w:rPr>
              <w:t>15</w:t>
            </w:r>
            <w:r>
              <w:rPr>
                <w:rFonts w:hint="eastAsia" w:ascii="宋体" w:hAnsi="宋体" w:cs="宋体"/>
                <w:color w:val="auto"/>
                <w:sz w:val="24"/>
                <w:szCs w:val="24"/>
                <w:highlight w:val="none"/>
              </w:rPr>
              <w:t>万元以上，或累计到账经费</w:t>
            </w:r>
            <w:r>
              <w:rPr>
                <w:rFonts w:hint="eastAsia" w:ascii="宋体" w:hAnsi="宋体" w:eastAsia="宋体" w:cs="宋体"/>
                <w:color w:val="auto"/>
                <w:sz w:val="24"/>
                <w:szCs w:val="24"/>
                <w:highlight w:val="none"/>
                <w:lang w:val="en-US" w:eastAsia="zh-CN"/>
              </w:rPr>
              <w:t>30</w:t>
            </w:r>
            <w:r>
              <w:rPr>
                <w:rFonts w:hint="eastAsia" w:ascii="宋体" w:hAnsi="宋体" w:cs="宋体"/>
                <w:color w:val="auto"/>
                <w:sz w:val="24"/>
                <w:szCs w:val="24"/>
                <w:highlight w:val="none"/>
              </w:rPr>
              <w:t xml:space="preserve">万元以上； </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人文社科类：主持横向课题单项到账经费1</w:t>
            </w:r>
            <w:r>
              <w:rPr>
                <w:rFonts w:hint="eastAsia" w:ascii="宋体" w:hAnsi="宋体" w:eastAsia="宋体" w:cs="宋体"/>
                <w:color w:val="auto"/>
                <w:sz w:val="24"/>
                <w:szCs w:val="24"/>
                <w:highlight w:val="none"/>
                <w:lang w:val="en-US" w:eastAsia="zh-CN"/>
              </w:rPr>
              <w:t>0</w:t>
            </w:r>
            <w:r>
              <w:rPr>
                <w:rFonts w:hint="eastAsia" w:ascii="宋体" w:hAnsi="宋体" w:cs="宋体"/>
                <w:color w:val="auto"/>
                <w:sz w:val="24"/>
                <w:szCs w:val="24"/>
                <w:highlight w:val="none"/>
              </w:rPr>
              <w:t>万元以上，或累计到账经费2</w:t>
            </w:r>
            <w:r>
              <w:rPr>
                <w:rFonts w:hint="eastAsia" w:ascii="宋体" w:hAnsi="宋体" w:eastAsia="宋体" w:cs="宋体"/>
                <w:color w:val="auto"/>
                <w:sz w:val="24"/>
                <w:szCs w:val="24"/>
                <w:highlight w:val="none"/>
                <w:lang w:val="en-US" w:eastAsia="zh-CN"/>
              </w:rPr>
              <w:t>0</w:t>
            </w:r>
            <w:r>
              <w:rPr>
                <w:rFonts w:hint="eastAsia" w:ascii="宋体" w:hAnsi="宋体" w:cs="宋体"/>
                <w:color w:val="auto"/>
                <w:sz w:val="24"/>
                <w:szCs w:val="24"/>
                <w:highlight w:val="none"/>
              </w:rPr>
              <w:t>万元以上。</w:t>
            </w:r>
          </w:p>
          <w:p>
            <w:pPr>
              <w:spacing w:line="360" w:lineRule="exact"/>
              <w:rPr>
                <w:rFonts w:ascii="宋体" w:hAnsi="宋体" w:cs="宋体"/>
                <w:color w:val="auto"/>
                <w:sz w:val="24"/>
                <w:szCs w:val="24"/>
                <w:highlight w:val="none"/>
              </w:rPr>
            </w:pPr>
            <w:r>
              <w:rPr>
                <w:rFonts w:hint="eastAsia" w:ascii="宋体" w:hAnsi="宋体" w:eastAsia="宋体" w:cs="宋体"/>
                <w:color w:val="auto"/>
                <w:sz w:val="24"/>
                <w:szCs w:val="24"/>
                <w:highlight w:val="none"/>
              </w:rPr>
              <w:t>⑧</w:t>
            </w:r>
            <w:r>
              <w:rPr>
                <w:rFonts w:hint="eastAsia" w:ascii="宋体" w:hAnsi="宋体" w:cs="宋体"/>
                <w:color w:val="auto"/>
                <w:sz w:val="24"/>
                <w:szCs w:val="24"/>
                <w:highlight w:val="none"/>
              </w:rPr>
              <w:t>作为第一发明人获得国家发明专利</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rPr>
              <w:t>项，或获得软件著作权2项，实现专利成果转化产生经济效益或转化成果收益20万元以上</w:t>
            </w:r>
            <w:r>
              <w:rPr>
                <w:rFonts w:ascii="仿宋_GB2312" w:hAnsi="仿宋_GB2312" w:eastAsia="仿宋_GB2312" w:cs="仿宋_GB2312"/>
                <w:color w:val="auto"/>
                <w:sz w:val="31"/>
                <w:szCs w:val="31"/>
                <w:highlight w:val="none"/>
              </w:rPr>
              <w:t>。</w:t>
            </w:r>
          </w:p>
        </w:tc>
      </w:tr>
    </w:tbl>
    <w:p>
      <w:pPr>
        <w:rPr>
          <w:color w:val="auto"/>
          <w:sz w:val="28"/>
          <w:szCs w:val="28"/>
          <w:highlight w:val="none"/>
        </w:rPr>
        <w:sectPr>
          <w:footerReference r:id="rId4" w:type="default"/>
          <w:pgSz w:w="11920" w:h="16840"/>
          <w:pgMar w:top="400" w:right="935" w:bottom="1841" w:left="1125" w:header="0" w:footer="1709" w:gutter="0"/>
          <w:pgNumType w:fmt="decimal"/>
          <w:cols w:space="720" w:num="1"/>
        </w:sectPr>
      </w:pPr>
    </w:p>
    <w:tbl>
      <w:tblPr>
        <w:tblStyle w:val="10"/>
        <w:tblpPr w:leftFromText="180" w:rightFromText="180" w:vertAnchor="text" w:horzAnchor="page" w:tblpX="991" w:tblpY="144"/>
        <w:tblOverlap w:val="never"/>
        <w:tblW w:w="1002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9"/>
        <w:gridCol w:w="336"/>
        <w:gridCol w:w="92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399" w:type="dxa"/>
            <w:vMerge w:val="restart"/>
            <w:tcBorders>
              <w:top w:val="single" w:color="auto" w:sz="4" w:space="0"/>
              <w:left w:val="single" w:color="auto" w:sz="4" w:space="0"/>
              <w:bottom w:val="single" w:color="auto" w:sz="4" w:space="0"/>
              <w:right w:val="single" w:color="auto" w:sz="4" w:space="0"/>
            </w:tcBorders>
          </w:tcPr>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3" w:lineRule="auto"/>
              <w:jc w:val="center"/>
              <w:rPr>
                <w:color w:val="auto"/>
                <w:sz w:val="28"/>
                <w:szCs w:val="28"/>
                <w:highlight w:val="none"/>
              </w:rPr>
            </w:pPr>
          </w:p>
          <w:p>
            <w:pPr>
              <w:spacing w:before="78" w:line="250" w:lineRule="auto"/>
              <w:ind w:right="68"/>
              <w:jc w:val="center"/>
              <w:rPr>
                <w:rFonts w:ascii="宋体" w:hAnsi="宋体" w:eastAsia="宋体" w:cs="宋体"/>
                <w:color w:val="auto"/>
                <w:sz w:val="28"/>
                <w:szCs w:val="28"/>
                <w:highlight w:val="none"/>
              </w:rPr>
            </w:pPr>
            <w:r>
              <w:rPr>
                <w:rFonts w:ascii="宋体" w:hAnsi="宋体" w:eastAsia="宋体" w:cs="宋体"/>
                <w:b/>
                <w:bCs/>
                <w:color w:val="auto"/>
                <w:spacing w:val="-4"/>
                <w:sz w:val="28"/>
                <w:szCs w:val="28"/>
                <w:highlight w:val="none"/>
              </w:rPr>
              <w:t>教学科研并重型副教授</w:t>
            </w:r>
          </w:p>
        </w:tc>
        <w:tc>
          <w:tcPr>
            <w:tcW w:w="336" w:type="dxa"/>
            <w:tcBorders>
              <w:top w:val="single" w:color="auto" w:sz="4" w:space="0"/>
              <w:left w:val="single" w:color="auto" w:sz="4" w:space="0"/>
              <w:bottom w:val="single" w:color="auto" w:sz="4" w:space="0"/>
              <w:right w:val="single" w:color="auto" w:sz="4" w:space="0"/>
            </w:tcBorders>
          </w:tcPr>
          <w:p>
            <w:pPr>
              <w:spacing w:line="258" w:lineRule="auto"/>
              <w:jc w:val="center"/>
              <w:rPr>
                <w:color w:val="auto"/>
                <w:sz w:val="28"/>
                <w:szCs w:val="28"/>
                <w:highlight w:val="none"/>
              </w:rPr>
            </w:pPr>
          </w:p>
          <w:p>
            <w:pPr>
              <w:spacing w:line="258" w:lineRule="auto"/>
              <w:jc w:val="center"/>
              <w:rPr>
                <w:color w:val="auto"/>
                <w:sz w:val="28"/>
                <w:szCs w:val="28"/>
                <w:highlight w:val="none"/>
              </w:rPr>
            </w:pPr>
          </w:p>
          <w:p>
            <w:pPr>
              <w:spacing w:line="258" w:lineRule="auto"/>
              <w:jc w:val="center"/>
              <w:rPr>
                <w:color w:val="auto"/>
                <w:sz w:val="28"/>
                <w:szCs w:val="28"/>
                <w:highlight w:val="none"/>
              </w:rPr>
            </w:pPr>
          </w:p>
          <w:p>
            <w:pPr>
              <w:spacing w:before="78" w:line="270" w:lineRule="auto"/>
              <w:ind w:right="144"/>
              <w:jc w:val="center"/>
              <w:rPr>
                <w:rFonts w:ascii="宋体" w:hAnsi="宋体" w:eastAsia="宋体" w:cs="宋体"/>
                <w:color w:val="auto"/>
                <w:sz w:val="28"/>
                <w:szCs w:val="28"/>
                <w:highlight w:val="none"/>
              </w:rPr>
            </w:pPr>
            <w:r>
              <w:rPr>
                <w:rFonts w:hint="eastAsia" w:ascii="宋体" w:hAnsi="宋体" w:cs="宋体"/>
                <w:color w:val="auto"/>
                <w:sz w:val="24"/>
                <w:szCs w:val="24"/>
                <w:highlight w:val="none"/>
              </w:rPr>
              <w:t>专业工作能力</w:t>
            </w:r>
          </w:p>
        </w:tc>
        <w:tc>
          <w:tcPr>
            <w:tcW w:w="9292" w:type="dxa"/>
            <w:tcBorders>
              <w:top w:val="single" w:color="auto" w:sz="4" w:space="0"/>
              <w:left w:val="single" w:color="auto" w:sz="4" w:space="0"/>
              <w:bottom w:val="single" w:color="auto" w:sz="4" w:space="0"/>
              <w:right w:val="single" w:color="auto" w:sz="4" w:space="0"/>
            </w:tcBorders>
          </w:tcPr>
          <w:p>
            <w:pPr>
              <w:spacing w:line="360" w:lineRule="exact"/>
              <w:rPr>
                <w:rFonts w:ascii="宋体" w:hAnsi="宋体" w:cs="宋体"/>
                <w:b/>
                <w:bCs/>
                <w:color w:val="auto"/>
                <w:sz w:val="24"/>
                <w:szCs w:val="24"/>
                <w:highlight w:val="none"/>
              </w:rPr>
            </w:pPr>
            <w:r>
              <w:rPr>
                <w:rFonts w:hint="eastAsia" w:ascii="宋体" w:hAnsi="宋体" w:cs="宋体"/>
                <w:b/>
                <w:bCs/>
                <w:color w:val="auto"/>
                <w:sz w:val="24"/>
                <w:szCs w:val="24"/>
                <w:highlight w:val="none"/>
              </w:rPr>
              <w:t>任现职以来，专业工作能力应具备下列条件的①至⑦条，专职辅导员只需具备第</w:t>
            </w:r>
            <w:r>
              <w:rPr>
                <w:rFonts w:hint="eastAsia" w:ascii="宋体" w:hAnsi="宋体" w:eastAsia="宋体" w:cs="宋体"/>
                <w:color w:val="auto"/>
                <w:sz w:val="24"/>
                <w:szCs w:val="24"/>
                <w:highlight w:val="none"/>
              </w:rPr>
              <w:t>⑧</w:t>
            </w:r>
            <w:r>
              <w:rPr>
                <w:rFonts w:hint="eastAsia" w:ascii="宋体" w:hAnsi="宋体" w:cs="宋体"/>
                <w:b/>
                <w:bCs/>
                <w:color w:val="auto"/>
                <w:sz w:val="24"/>
                <w:szCs w:val="24"/>
                <w:highlight w:val="none"/>
              </w:rPr>
              <w:t>条：</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①任现职近</w:t>
            </w:r>
            <w:r>
              <w:rPr>
                <w:rFonts w:hint="eastAsia" w:ascii="宋体" w:hAnsi="宋体" w:cs="宋体"/>
                <w:color w:val="auto"/>
                <w:highlight w:val="none"/>
              </w:rPr>
              <w:t>5</w:t>
            </w:r>
            <w:r>
              <w:rPr>
                <w:rFonts w:hint="eastAsia" w:ascii="宋体" w:hAnsi="宋体" w:cs="宋体"/>
                <w:color w:val="auto"/>
                <w:sz w:val="24"/>
                <w:szCs w:val="24"/>
                <w:highlight w:val="none"/>
              </w:rPr>
              <w:t>年来系统担任</w:t>
            </w:r>
            <w:r>
              <w:rPr>
                <w:rFonts w:hint="eastAsia" w:ascii="宋体" w:hAnsi="宋体" w:cs="宋体"/>
                <w:color w:val="auto"/>
                <w:highlight w:val="none"/>
              </w:rPr>
              <w:t>1</w:t>
            </w:r>
            <w:r>
              <w:rPr>
                <w:rFonts w:hint="eastAsia" w:ascii="宋体" w:hAnsi="宋体" w:cs="宋体"/>
                <w:color w:val="auto"/>
                <w:sz w:val="24"/>
                <w:szCs w:val="24"/>
                <w:highlight w:val="none"/>
              </w:rPr>
              <w:t>门公共课、基础课或</w:t>
            </w:r>
            <w:r>
              <w:rPr>
                <w:rFonts w:hint="eastAsia" w:ascii="宋体" w:hAnsi="宋体" w:cs="宋体"/>
                <w:color w:val="auto"/>
                <w:highlight w:val="none"/>
              </w:rPr>
              <w:t>2</w:t>
            </w:r>
            <w:r>
              <w:rPr>
                <w:rFonts w:hint="eastAsia" w:ascii="宋体" w:hAnsi="宋体" w:cs="宋体"/>
                <w:color w:val="auto"/>
                <w:sz w:val="24"/>
                <w:szCs w:val="24"/>
                <w:highlight w:val="none"/>
              </w:rPr>
              <w:t>门以上专业课程的讲授工作，每学年至少讲授</w:t>
            </w:r>
            <w:r>
              <w:rPr>
                <w:rFonts w:hint="eastAsia" w:ascii="宋体" w:hAnsi="宋体" w:cs="宋体"/>
                <w:color w:val="auto"/>
                <w:highlight w:val="none"/>
              </w:rPr>
              <w:t>1</w:t>
            </w:r>
            <w:r>
              <w:rPr>
                <w:rFonts w:hint="eastAsia" w:ascii="宋体" w:hAnsi="宋体" w:cs="宋体"/>
                <w:color w:val="auto"/>
                <w:sz w:val="24"/>
                <w:szCs w:val="24"/>
                <w:highlight w:val="none"/>
              </w:rPr>
              <w:t>门课程，完成学校规定的教学、科研等工作任务。将思想政治教育较好融入教学，在学生培养工作中做出</w:t>
            </w:r>
            <w:r>
              <w:rPr>
                <w:rFonts w:hint="eastAsia" w:ascii="宋体" w:hAnsi="宋体" w:eastAsia="宋体" w:cs="宋体"/>
                <w:color w:val="auto"/>
                <w:sz w:val="24"/>
                <w:szCs w:val="24"/>
                <w:highlight w:val="none"/>
              </w:rPr>
              <w:t>较大</w:t>
            </w:r>
            <w:r>
              <w:rPr>
                <w:rFonts w:hint="eastAsia" w:ascii="宋体" w:hAnsi="宋体" w:cs="宋体"/>
                <w:color w:val="auto"/>
                <w:sz w:val="24"/>
                <w:szCs w:val="24"/>
                <w:highlight w:val="none"/>
              </w:rPr>
              <w:t>贡献。</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②年均教学工作量不少于</w:t>
            </w:r>
            <w:r>
              <w:rPr>
                <w:rFonts w:hint="eastAsia" w:ascii="宋体" w:hAnsi="宋体" w:eastAsia="宋体" w:cs="宋体"/>
                <w:color w:val="auto"/>
                <w:highlight w:val="none"/>
              </w:rPr>
              <w:t>320</w:t>
            </w:r>
            <w:r>
              <w:rPr>
                <w:rFonts w:hint="eastAsia" w:ascii="宋体" w:hAnsi="宋体" w:eastAsia="宋体" w:cs="宋体"/>
                <w:color w:val="auto"/>
                <w:sz w:val="24"/>
                <w:szCs w:val="24"/>
                <w:highlight w:val="none"/>
              </w:rPr>
              <w:t>标时</w:t>
            </w:r>
            <w:r>
              <w:rPr>
                <w:rFonts w:hint="eastAsia" w:ascii="宋体" w:hAnsi="宋体" w:cs="宋体"/>
                <w:color w:val="auto"/>
                <w:sz w:val="24"/>
                <w:szCs w:val="24"/>
                <w:highlight w:val="none"/>
              </w:rPr>
              <w:t>（其中课堂教学工作量不少于</w:t>
            </w:r>
            <w:r>
              <w:rPr>
                <w:rFonts w:hint="eastAsia" w:ascii="宋体" w:hAnsi="宋体" w:eastAsia="宋体" w:cs="宋体"/>
                <w:color w:val="auto"/>
                <w:highlight w:val="none"/>
              </w:rPr>
              <w:t>256</w:t>
            </w:r>
            <w:r>
              <w:rPr>
                <w:rFonts w:hint="eastAsia" w:ascii="宋体" w:hAnsi="宋体" w:eastAsia="宋体" w:cs="宋体"/>
                <w:color w:val="auto"/>
                <w:sz w:val="24"/>
                <w:szCs w:val="24"/>
                <w:highlight w:val="none"/>
              </w:rPr>
              <w:t>标时</w:t>
            </w:r>
            <w:r>
              <w:rPr>
                <w:rFonts w:hint="eastAsia" w:ascii="宋体" w:hAnsi="宋体" w:cs="宋体"/>
                <w:color w:val="auto"/>
                <w:sz w:val="24"/>
                <w:szCs w:val="24"/>
                <w:highlight w:val="none"/>
              </w:rPr>
              <w:t>）。</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③任现职以来年度教学质量考核均为合格以上，且近五年来须获学校年度教学质量考核优秀</w:t>
            </w:r>
            <w:r>
              <w:rPr>
                <w:rFonts w:hint="eastAsia" w:ascii="宋体" w:hAnsi="宋体" w:cs="宋体"/>
                <w:color w:val="auto"/>
                <w:highlight w:val="none"/>
              </w:rPr>
              <w:t>1</w:t>
            </w:r>
            <w:r>
              <w:rPr>
                <w:rFonts w:hint="eastAsia" w:ascii="宋体" w:hAnsi="宋体" w:cs="宋体"/>
                <w:color w:val="auto"/>
                <w:sz w:val="24"/>
                <w:szCs w:val="24"/>
                <w:highlight w:val="none"/>
              </w:rPr>
              <w:t>次以上或年度考核优秀</w:t>
            </w:r>
            <w:r>
              <w:rPr>
                <w:rFonts w:hint="eastAsia" w:ascii="宋体" w:hAnsi="宋体" w:cs="宋体"/>
                <w:color w:val="auto"/>
                <w:highlight w:val="none"/>
              </w:rPr>
              <w:t>1</w:t>
            </w:r>
            <w:r>
              <w:rPr>
                <w:rFonts w:hint="eastAsia" w:ascii="宋体" w:hAnsi="宋体" w:cs="宋体"/>
                <w:color w:val="auto"/>
                <w:sz w:val="24"/>
                <w:szCs w:val="24"/>
                <w:highlight w:val="none"/>
              </w:rPr>
              <w:t>次以上。</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④任现职期间有</w:t>
            </w:r>
            <w:r>
              <w:rPr>
                <w:rFonts w:hint="eastAsia" w:ascii="宋体" w:hAnsi="宋体" w:cs="宋体"/>
                <w:color w:val="auto"/>
                <w:highlight w:val="none"/>
              </w:rPr>
              <w:t>1</w:t>
            </w:r>
            <w:r>
              <w:rPr>
                <w:rFonts w:hint="eastAsia" w:ascii="宋体" w:hAnsi="宋体" w:cs="宋体"/>
                <w:color w:val="auto"/>
                <w:sz w:val="24"/>
                <w:szCs w:val="24"/>
                <w:highlight w:val="none"/>
              </w:rPr>
              <w:t>年以上教学科研管理工作经历。指导青年教师、进修教师学习</w:t>
            </w:r>
            <w:r>
              <w:rPr>
                <w:rFonts w:hint="eastAsia" w:ascii="宋体" w:hAnsi="宋体" w:cs="宋体"/>
                <w:color w:val="auto"/>
                <w:highlight w:val="none"/>
              </w:rPr>
              <w:t>1</w:t>
            </w:r>
            <w:r>
              <w:rPr>
                <w:rFonts w:hint="eastAsia" w:ascii="宋体" w:hAnsi="宋体" w:cs="宋体"/>
                <w:color w:val="auto"/>
                <w:sz w:val="24"/>
                <w:szCs w:val="24"/>
                <w:highlight w:val="none"/>
              </w:rPr>
              <w:t>年以上。</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⑤主持或积极参与学院、系学科专业建设、人才培养方案制定、专业评估、产业学院建设、实验室建设等各项院系公共工作。</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⑥经学校认定的“双师型”教师或在国家机关、企事业单位、基层挂职工作6个月以上并产生较好的社会经济效益或取得突出成绩的。</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⑦参与校</w:t>
            </w:r>
            <w:r>
              <w:rPr>
                <w:rFonts w:hint="eastAsia" w:ascii="宋体" w:hAnsi="宋体" w:cs="宋体"/>
                <w:color w:val="auto"/>
                <w:sz w:val="24"/>
                <w:szCs w:val="24"/>
                <w:highlight w:val="none"/>
                <w:lang w:val="en-US" w:eastAsia="zh-CN"/>
              </w:rPr>
              <w:t>级以上单位</w:t>
            </w:r>
            <w:r>
              <w:rPr>
                <w:rFonts w:hint="eastAsia" w:ascii="宋体" w:hAnsi="宋体" w:cs="宋体"/>
                <w:color w:val="auto"/>
                <w:sz w:val="24"/>
                <w:szCs w:val="24"/>
                <w:highlight w:val="none"/>
              </w:rPr>
              <w:t>组织的各类竞赛</w:t>
            </w:r>
            <w:r>
              <w:rPr>
                <w:rFonts w:hint="eastAsia" w:ascii="宋体" w:hAnsi="宋体" w:cs="宋体"/>
                <w:color w:val="auto"/>
                <w:sz w:val="24"/>
                <w:szCs w:val="24"/>
                <w:highlight w:val="none"/>
                <w:lang w:val="en-US" w:eastAsia="zh-CN"/>
              </w:rPr>
              <w:t>一次以上</w:t>
            </w:r>
            <w:r>
              <w:rPr>
                <w:rFonts w:hint="eastAsia" w:ascii="宋体" w:hAnsi="宋体" w:cs="宋体"/>
                <w:color w:val="auto"/>
                <w:sz w:val="24"/>
                <w:szCs w:val="24"/>
                <w:highlight w:val="none"/>
              </w:rPr>
              <w:t>。</w:t>
            </w:r>
          </w:p>
          <w:p>
            <w:pPr>
              <w:spacing w:line="360" w:lineRule="exact"/>
              <w:rPr>
                <w:rFonts w:ascii="宋体" w:hAnsi="宋体" w:eastAsia="宋体" w:cs="宋体"/>
                <w:color w:val="auto"/>
                <w:sz w:val="24"/>
                <w:szCs w:val="24"/>
                <w:highlight w:val="none"/>
              </w:rPr>
            </w:pPr>
            <w:r>
              <w:rPr>
                <w:rFonts w:hint="eastAsia" w:ascii="宋体" w:hAnsi="宋体" w:cs="宋体"/>
                <w:color w:val="auto"/>
                <w:sz w:val="24"/>
                <w:szCs w:val="24"/>
                <w:highlight w:val="none"/>
              </w:rPr>
              <w:t>⑧专职学生辅导员独立讲授1门以上相关思想政治教育课或专业课，年均教学工作量不少于64标时；指导学生就业和组织校级以上学生思想政治教育活动，并取得较好效果。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 w:hRule="atLeast"/>
        </w:trPr>
        <w:tc>
          <w:tcPr>
            <w:tcW w:w="399" w:type="dxa"/>
            <w:vMerge w:val="continue"/>
            <w:tcBorders>
              <w:top w:val="single" w:color="auto" w:sz="4" w:space="0"/>
              <w:left w:val="single" w:color="auto" w:sz="4" w:space="0"/>
              <w:bottom w:val="single" w:color="auto" w:sz="4" w:space="0"/>
              <w:right w:val="single" w:color="auto" w:sz="4" w:space="0"/>
            </w:tcBorders>
          </w:tcPr>
          <w:p>
            <w:pPr>
              <w:jc w:val="center"/>
              <w:rPr>
                <w:color w:val="auto"/>
                <w:sz w:val="28"/>
                <w:szCs w:val="28"/>
                <w:highlight w:val="none"/>
              </w:rPr>
            </w:pPr>
          </w:p>
        </w:tc>
        <w:tc>
          <w:tcPr>
            <w:tcW w:w="336" w:type="dxa"/>
            <w:tcBorders>
              <w:top w:val="single" w:color="auto" w:sz="4" w:space="0"/>
              <w:left w:val="single" w:color="auto" w:sz="4" w:space="0"/>
              <w:bottom w:val="single" w:color="auto" w:sz="4" w:space="0"/>
              <w:right w:val="single" w:color="auto" w:sz="4" w:space="0"/>
            </w:tcBorders>
          </w:tcPr>
          <w:p>
            <w:pPr>
              <w:spacing w:line="279" w:lineRule="auto"/>
              <w:jc w:val="center"/>
              <w:rPr>
                <w:color w:val="auto"/>
                <w:sz w:val="28"/>
                <w:szCs w:val="28"/>
                <w:highlight w:val="none"/>
              </w:rPr>
            </w:pPr>
          </w:p>
          <w:p>
            <w:pPr>
              <w:spacing w:line="279" w:lineRule="auto"/>
              <w:jc w:val="center"/>
              <w:rPr>
                <w:color w:val="auto"/>
                <w:sz w:val="28"/>
                <w:szCs w:val="28"/>
                <w:highlight w:val="none"/>
              </w:rPr>
            </w:pPr>
          </w:p>
          <w:p>
            <w:pPr>
              <w:spacing w:line="280" w:lineRule="auto"/>
              <w:jc w:val="center"/>
              <w:rPr>
                <w:color w:val="auto"/>
                <w:sz w:val="28"/>
                <w:szCs w:val="28"/>
                <w:highlight w:val="none"/>
              </w:rPr>
            </w:pPr>
          </w:p>
          <w:p>
            <w:pPr>
              <w:spacing w:line="280" w:lineRule="auto"/>
              <w:jc w:val="center"/>
              <w:rPr>
                <w:color w:val="auto"/>
                <w:sz w:val="28"/>
                <w:szCs w:val="28"/>
                <w:highlight w:val="none"/>
              </w:rPr>
            </w:pPr>
          </w:p>
          <w:p>
            <w:pPr>
              <w:spacing w:line="280" w:lineRule="auto"/>
              <w:jc w:val="center"/>
              <w:rPr>
                <w:color w:val="auto"/>
                <w:sz w:val="28"/>
                <w:szCs w:val="28"/>
                <w:highlight w:val="none"/>
              </w:rPr>
            </w:pPr>
          </w:p>
          <w:p>
            <w:pPr>
              <w:spacing w:line="280" w:lineRule="auto"/>
              <w:jc w:val="center"/>
              <w:rPr>
                <w:color w:val="auto"/>
                <w:sz w:val="28"/>
                <w:szCs w:val="28"/>
                <w:highlight w:val="none"/>
              </w:rPr>
            </w:pPr>
          </w:p>
          <w:p>
            <w:pPr>
              <w:spacing w:before="12" w:line="220" w:lineRule="auto"/>
              <w:jc w:val="center"/>
              <w:rPr>
                <w:rFonts w:ascii="宋体" w:hAnsi="宋体" w:cs="宋体"/>
                <w:color w:val="auto"/>
                <w:sz w:val="24"/>
                <w:szCs w:val="24"/>
                <w:highlight w:val="none"/>
              </w:rPr>
            </w:pPr>
          </w:p>
          <w:p>
            <w:pPr>
              <w:spacing w:before="12" w:line="220" w:lineRule="auto"/>
              <w:jc w:val="center"/>
              <w:rPr>
                <w:rFonts w:ascii="宋体" w:hAnsi="宋体" w:cs="宋体"/>
                <w:color w:val="auto"/>
                <w:sz w:val="24"/>
                <w:szCs w:val="24"/>
                <w:highlight w:val="none"/>
              </w:rPr>
            </w:pPr>
          </w:p>
          <w:p>
            <w:pPr>
              <w:spacing w:before="12" w:line="220" w:lineRule="auto"/>
              <w:jc w:val="center"/>
              <w:rPr>
                <w:rFonts w:ascii="宋体" w:hAnsi="宋体" w:eastAsia="宋体" w:cs="宋体"/>
                <w:color w:val="auto"/>
                <w:sz w:val="28"/>
                <w:szCs w:val="28"/>
                <w:highlight w:val="none"/>
              </w:rPr>
            </w:pPr>
            <w:r>
              <w:rPr>
                <w:rFonts w:hint="eastAsia" w:ascii="宋体" w:hAnsi="宋体" w:cs="宋体"/>
                <w:color w:val="auto"/>
                <w:sz w:val="24"/>
                <w:szCs w:val="24"/>
                <w:highlight w:val="none"/>
              </w:rPr>
              <w:t>业绩与科研成果</w:t>
            </w:r>
          </w:p>
        </w:tc>
        <w:tc>
          <w:tcPr>
            <w:tcW w:w="9292" w:type="dxa"/>
            <w:tcBorders>
              <w:top w:val="single" w:color="auto" w:sz="4" w:space="0"/>
              <w:left w:val="single" w:color="auto" w:sz="4" w:space="0"/>
              <w:bottom w:val="single" w:color="auto" w:sz="4" w:space="0"/>
              <w:right w:val="single" w:color="auto" w:sz="4" w:space="0"/>
            </w:tcBorders>
          </w:tcPr>
          <w:p>
            <w:pPr>
              <w:spacing w:line="360" w:lineRule="exact"/>
              <w:rPr>
                <w:rFonts w:ascii="宋体" w:hAnsi="宋体" w:cs="宋体"/>
                <w:b/>
                <w:bCs/>
                <w:color w:val="auto"/>
                <w:sz w:val="24"/>
                <w:szCs w:val="24"/>
                <w:highlight w:val="none"/>
              </w:rPr>
            </w:pPr>
            <w:r>
              <w:rPr>
                <w:rFonts w:hint="eastAsia" w:ascii="宋体" w:hAnsi="宋体" w:cs="宋体"/>
                <w:b/>
                <w:bCs/>
                <w:color w:val="auto"/>
                <w:sz w:val="24"/>
                <w:szCs w:val="24"/>
                <w:highlight w:val="none"/>
              </w:rPr>
              <w:t>任现职以来，业绩与科研成果必须同时具备第①条中的一条和第②条中的一条：</w:t>
            </w:r>
          </w:p>
          <w:p>
            <w:pPr>
              <w:spacing w:line="360" w:lineRule="exact"/>
              <w:rPr>
                <w:rFonts w:ascii="宋体" w:hAnsi="宋体" w:cs="宋体"/>
                <w:b/>
                <w:bCs/>
                <w:color w:val="auto"/>
                <w:highlight w:val="none"/>
              </w:rPr>
            </w:pPr>
            <w:r>
              <w:rPr>
                <w:rFonts w:hint="eastAsia" w:ascii="宋体" w:hAnsi="宋体" w:cs="宋体"/>
                <w:b/>
                <w:bCs/>
                <w:color w:val="auto"/>
                <w:sz w:val="24"/>
                <w:szCs w:val="24"/>
                <w:highlight w:val="none"/>
              </w:rPr>
              <w:t>①项目、奖励条件</w:t>
            </w:r>
          </w:p>
          <w:p>
            <w:pPr>
              <w:spacing w:line="360" w:lineRule="exact"/>
              <w:rPr>
                <w:rFonts w:ascii="宋体" w:hAnsi="宋体" w:cs="宋体"/>
                <w:color w:val="auto"/>
                <w:highlight w:val="none"/>
              </w:rPr>
            </w:pPr>
            <w:r>
              <w:rPr>
                <w:rFonts w:hint="eastAsia" w:ascii="宋体" w:hAnsi="宋体" w:cs="宋体"/>
                <w:color w:val="auto"/>
                <w:sz w:val="24"/>
                <w:szCs w:val="24"/>
                <w:highlight w:val="none"/>
              </w:rPr>
              <w:t>a主持完成厅（局）级科研项目</w:t>
            </w:r>
            <w:r>
              <w:rPr>
                <w:rFonts w:hint="eastAsia" w:ascii="宋体" w:hAnsi="宋体" w:cs="宋体"/>
                <w:color w:val="auto"/>
                <w:highlight w:val="none"/>
              </w:rPr>
              <w:t>1</w:t>
            </w:r>
            <w:r>
              <w:rPr>
                <w:rFonts w:hint="eastAsia" w:ascii="宋体" w:hAnsi="宋体" w:cs="宋体"/>
                <w:color w:val="auto"/>
                <w:sz w:val="24"/>
                <w:szCs w:val="24"/>
                <w:highlight w:val="none"/>
              </w:rPr>
              <w:t>项。</w:t>
            </w:r>
          </w:p>
          <w:p>
            <w:pPr>
              <w:spacing w:line="360" w:lineRule="exact"/>
              <w:rPr>
                <w:rFonts w:ascii="宋体" w:hAnsi="宋体" w:cs="宋体"/>
                <w:color w:val="auto"/>
                <w:highlight w:val="none"/>
              </w:rPr>
            </w:pPr>
            <w:r>
              <w:rPr>
                <w:rFonts w:hint="eastAsia" w:ascii="宋体" w:hAnsi="宋体" w:cs="宋体"/>
                <w:color w:val="auto"/>
                <w:sz w:val="24"/>
                <w:szCs w:val="24"/>
                <w:highlight w:val="none"/>
              </w:rPr>
              <w:t>b获国家级（限前</w:t>
            </w:r>
            <w:r>
              <w:rPr>
                <w:rFonts w:hint="eastAsia" w:ascii="宋体" w:hAnsi="宋体" w:eastAsia="宋体" w:cs="宋体"/>
                <w:color w:val="auto"/>
                <w:sz w:val="24"/>
                <w:szCs w:val="24"/>
                <w:highlight w:val="none"/>
                <w:lang w:val="en-US" w:eastAsia="zh-CN"/>
              </w:rPr>
              <w:t>8</w:t>
            </w:r>
            <w:r>
              <w:rPr>
                <w:rFonts w:hint="eastAsia" w:ascii="宋体" w:hAnsi="宋体" w:cs="宋体"/>
                <w:color w:val="auto"/>
                <w:sz w:val="24"/>
                <w:szCs w:val="24"/>
                <w:highlight w:val="none"/>
              </w:rPr>
              <w:t>名）或省（部）级奖（一等奖限前</w:t>
            </w:r>
            <w:r>
              <w:rPr>
                <w:rFonts w:hint="eastAsia" w:ascii="宋体" w:hAnsi="宋体" w:eastAsia="宋体" w:cs="宋体"/>
                <w:color w:val="auto"/>
                <w:sz w:val="24"/>
                <w:szCs w:val="24"/>
                <w:highlight w:val="none"/>
                <w:lang w:val="en-US" w:eastAsia="zh-CN"/>
              </w:rPr>
              <w:t>5</w:t>
            </w:r>
            <w:r>
              <w:rPr>
                <w:rFonts w:hint="eastAsia" w:ascii="宋体" w:hAnsi="宋体" w:cs="宋体"/>
                <w:color w:val="auto"/>
                <w:sz w:val="24"/>
                <w:szCs w:val="24"/>
                <w:highlight w:val="none"/>
              </w:rPr>
              <w:t>名、二等奖限前</w:t>
            </w:r>
            <w:r>
              <w:rPr>
                <w:rFonts w:hint="eastAsia" w:ascii="宋体" w:hAnsi="宋体" w:eastAsia="宋体" w:cs="宋体"/>
                <w:color w:val="auto"/>
                <w:sz w:val="24"/>
                <w:szCs w:val="24"/>
                <w:highlight w:val="none"/>
                <w:lang w:val="en-US" w:eastAsia="zh-CN"/>
              </w:rPr>
              <w:t>4</w:t>
            </w:r>
            <w:r>
              <w:rPr>
                <w:rFonts w:hint="eastAsia" w:ascii="宋体" w:hAnsi="宋体" w:cs="宋体"/>
                <w:color w:val="auto"/>
                <w:sz w:val="24"/>
                <w:szCs w:val="24"/>
                <w:highlight w:val="none"/>
              </w:rPr>
              <w:t>名、三等奖限前</w:t>
            </w: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rPr>
              <w:t>名）或厅（局）级奖（限前</w:t>
            </w:r>
            <w:r>
              <w:rPr>
                <w:rFonts w:hint="eastAsia" w:ascii="宋体" w:hAnsi="宋体" w:cs="宋体"/>
                <w:color w:val="auto"/>
                <w:highlight w:val="none"/>
              </w:rPr>
              <w:t>2</w:t>
            </w:r>
            <w:r>
              <w:rPr>
                <w:rFonts w:hint="eastAsia" w:ascii="宋体" w:hAnsi="宋体" w:cs="宋体"/>
                <w:color w:val="auto"/>
                <w:sz w:val="24"/>
                <w:szCs w:val="24"/>
                <w:highlight w:val="none"/>
              </w:rPr>
              <w:t>名）。</w:t>
            </w:r>
          </w:p>
          <w:p>
            <w:pPr>
              <w:spacing w:line="360" w:lineRule="exact"/>
              <w:rPr>
                <w:rFonts w:ascii="宋体" w:hAnsi="宋体" w:cs="宋体"/>
                <w:color w:val="auto"/>
                <w:highlight w:val="none"/>
              </w:rPr>
            </w:pPr>
            <w:r>
              <w:rPr>
                <w:rFonts w:hint="eastAsia" w:ascii="宋体" w:hAnsi="宋体" w:cs="宋体"/>
                <w:color w:val="auto"/>
                <w:sz w:val="24"/>
                <w:szCs w:val="24"/>
                <w:highlight w:val="none"/>
              </w:rPr>
              <w:t>c艺术类教师在省（部）级音乐比赛、展演（画展、设计展、音乐会等）中获优秀奖以上，或在国家级音乐比赛、展演中获入围奖以上；或主持承担过厅（局）级以上大型项目设计。</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d体育类教师任国家级赛事集体项目前</w:t>
            </w:r>
            <w:r>
              <w:rPr>
                <w:rFonts w:hint="eastAsia" w:ascii="宋体" w:hAnsi="宋体" w:cs="宋体"/>
                <w:color w:val="auto"/>
                <w:highlight w:val="none"/>
              </w:rPr>
              <w:t>6</w:t>
            </w:r>
            <w:r>
              <w:rPr>
                <w:rFonts w:hint="eastAsia" w:ascii="宋体" w:hAnsi="宋体" w:cs="宋体"/>
                <w:color w:val="auto"/>
                <w:sz w:val="24"/>
                <w:szCs w:val="24"/>
                <w:highlight w:val="none"/>
              </w:rPr>
              <w:t>名运动队的主教练、单项比赛前</w:t>
            </w:r>
            <w:r>
              <w:rPr>
                <w:rFonts w:hint="eastAsia" w:ascii="宋体" w:hAnsi="宋体" w:cs="宋体"/>
                <w:color w:val="auto"/>
                <w:highlight w:val="none"/>
              </w:rPr>
              <w:t>3</w:t>
            </w:r>
            <w:r>
              <w:rPr>
                <w:rFonts w:hint="eastAsia" w:ascii="宋体" w:hAnsi="宋体" w:cs="宋体"/>
                <w:color w:val="auto"/>
                <w:sz w:val="24"/>
                <w:szCs w:val="24"/>
                <w:highlight w:val="none"/>
              </w:rPr>
              <w:t>名的主教练；或任省级赛事集体项目前</w:t>
            </w:r>
            <w:r>
              <w:rPr>
                <w:rFonts w:hint="eastAsia" w:ascii="宋体" w:hAnsi="宋体" w:cs="宋体"/>
                <w:color w:val="auto"/>
                <w:highlight w:val="none"/>
              </w:rPr>
              <w:t>3</w:t>
            </w:r>
            <w:r>
              <w:rPr>
                <w:rFonts w:hint="eastAsia" w:ascii="宋体" w:hAnsi="宋体" w:cs="宋体"/>
                <w:color w:val="auto"/>
                <w:sz w:val="24"/>
                <w:szCs w:val="24"/>
                <w:highlight w:val="none"/>
              </w:rPr>
              <w:t>名运动队的主教练、单项比赛冠军的主教练；或具有国家级裁判及以上资格并有主裁判经历。</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e专职学生辅导员长期从事学生思想政治工作，且至少近</w:t>
            </w:r>
            <w:r>
              <w:rPr>
                <w:rFonts w:hint="eastAsia" w:ascii="宋体" w:hAnsi="宋体" w:cs="宋体"/>
                <w:color w:val="auto"/>
                <w:highlight w:val="none"/>
              </w:rPr>
              <w:t>3</w:t>
            </w:r>
            <w:r>
              <w:rPr>
                <w:rFonts w:hint="eastAsia" w:ascii="宋体" w:hAnsi="宋体" w:cs="宋体"/>
                <w:color w:val="auto"/>
                <w:sz w:val="24"/>
                <w:szCs w:val="24"/>
                <w:highlight w:val="none"/>
              </w:rPr>
              <w:t>年在学生工作第一线。本人获得或所带班级、团支部等学生团体获得厅（局）级以上教育主管部门颁发的荣誉称号；或主持完成厅（局）级以上学生思想政治教育研究项目。</w:t>
            </w:r>
          </w:p>
          <w:p>
            <w:pPr>
              <w:spacing w:line="360"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f理工科类：主持横向课题单项到账经费2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万元以上，或累计到账经费</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0万元以上； </w:t>
            </w:r>
          </w:p>
          <w:p>
            <w:pPr>
              <w:spacing w:line="360"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人文社科类：主持横向课题单项到账经费1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万元以上，或累计到账经费</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万元以上。</w:t>
            </w:r>
          </w:p>
          <w:p>
            <w:pPr>
              <w:spacing w:line="36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g</w:t>
            </w:r>
            <w:r>
              <w:rPr>
                <w:rFonts w:hint="eastAsia" w:ascii="宋体" w:hAnsi="宋体" w:cs="宋体"/>
                <w:color w:val="auto"/>
                <w:sz w:val="24"/>
                <w:szCs w:val="24"/>
                <w:highlight w:val="none"/>
              </w:rPr>
              <w:t>作为第一发明人获得国家发明专利</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rPr>
              <w:t>项，或获得软件著作权</w:t>
            </w:r>
            <w:bookmarkStart w:id="0" w:name="_GoBack"/>
            <w:bookmarkEnd w:id="0"/>
            <w:r>
              <w:rPr>
                <w:rFonts w:hint="eastAsia" w:ascii="宋体" w:hAnsi="宋体" w:cs="宋体"/>
                <w:color w:val="auto"/>
                <w:sz w:val="24"/>
                <w:szCs w:val="24"/>
                <w:highlight w:val="none"/>
              </w:rPr>
              <w:t>2项，实现专利成果转化产生经济效益或转化成果收益20万元以上</w:t>
            </w:r>
            <w:r>
              <w:rPr>
                <w:rFonts w:hint="eastAsia" w:ascii="宋体" w:hAnsi="宋体" w:eastAsia="宋体" w:cs="宋体"/>
                <w:color w:val="auto"/>
                <w:sz w:val="24"/>
                <w:szCs w:val="24"/>
                <w:highlight w:val="none"/>
                <w:lang w:eastAsia="zh-CN"/>
              </w:rPr>
              <w:t>。</w:t>
            </w:r>
          </w:p>
          <w:p>
            <w:pPr>
              <w:spacing w:line="360" w:lineRule="exact"/>
              <w:rPr>
                <w:rFonts w:ascii="宋体" w:hAnsi="宋体" w:cs="宋体"/>
                <w:b/>
                <w:bCs/>
                <w:color w:val="auto"/>
                <w:highlight w:val="none"/>
              </w:rPr>
            </w:pPr>
            <w:r>
              <w:rPr>
                <w:rFonts w:hint="eastAsia" w:ascii="宋体" w:hAnsi="宋体" w:cs="宋体"/>
                <w:b/>
                <w:bCs/>
                <w:color w:val="auto"/>
                <w:sz w:val="24"/>
                <w:szCs w:val="24"/>
                <w:highlight w:val="none"/>
              </w:rPr>
              <w:t>②论文、著作条件</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a有3篇学术论文发表在国内核心期刊或被国外权威期刊收录。</w:t>
            </w:r>
          </w:p>
          <w:p>
            <w:pPr>
              <w:spacing w:line="360" w:lineRule="exact"/>
              <w:rPr>
                <w:rFonts w:ascii="宋体" w:hAnsi="宋体" w:cs="宋体"/>
                <w:color w:val="auto"/>
                <w:highlight w:val="none"/>
              </w:rPr>
            </w:pPr>
            <w:r>
              <w:rPr>
                <w:rFonts w:hint="eastAsia" w:ascii="宋体" w:hAnsi="宋体" w:eastAsia="宋体" w:cs="宋体"/>
                <w:color w:val="auto"/>
                <w:sz w:val="24"/>
                <w:szCs w:val="24"/>
                <w:highlight w:val="none"/>
              </w:rPr>
              <w:t>b</w:t>
            </w:r>
            <w:r>
              <w:rPr>
                <w:rFonts w:hint="eastAsia" w:ascii="宋体" w:hAnsi="宋体" w:cs="宋体"/>
                <w:color w:val="auto"/>
                <w:sz w:val="24"/>
                <w:szCs w:val="24"/>
                <w:highlight w:val="none"/>
              </w:rPr>
              <w:t>公开出版学术著作</w:t>
            </w:r>
            <w:r>
              <w:rPr>
                <w:rFonts w:hint="eastAsia" w:ascii="宋体" w:hAnsi="宋体" w:cs="宋体"/>
                <w:color w:val="auto"/>
                <w:highlight w:val="none"/>
              </w:rPr>
              <w:t>(</w:t>
            </w:r>
            <w:r>
              <w:rPr>
                <w:rFonts w:hint="eastAsia" w:ascii="宋体" w:hAnsi="宋体" w:cs="宋体"/>
                <w:color w:val="auto"/>
                <w:sz w:val="24"/>
                <w:szCs w:val="24"/>
                <w:highlight w:val="none"/>
              </w:rPr>
              <w:t>含合著、编著或第一主编的教材</w:t>
            </w:r>
            <w:r>
              <w:rPr>
                <w:rFonts w:hint="eastAsia" w:ascii="宋体" w:hAnsi="宋体" w:cs="宋体"/>
                <w:color w:val="auto"/>
                <w:highlight w:val="none"/>
              </w:rPr>
              <w:t>)1</w:t>
            </w:r>
            <w:r>
              <w:rPr>
                <w:rFonts w:hint="eastAsia" w:ascii="宋体" w:hAnsi="宋体" w:cs="宋体"/>
                <w:color w:val="auto"/>
                <w:sz w:val="24"/>
                <w:szCs w:val="24"/>
                <w:highlight w:val="none"/>
              </w:rPr>
              <w:t>部，且有</w:t>
            </w:r>
            <w:r>
              <w:rPr>
                <w:rFonts w:hint="eastAsia" w:ascii="宋体" w:hAnsi="宋体" w:cs="宋体"/>
                <w:color w:val="auto"/>
                <w:highlight w:val="none"/>
              </w:rPr>
              <w:t>2</w:t>
            </w:r>
            <w:r>
              <w:rPr>
                <w:rFonts w:hint="eastAsia" w:ascii="宋体" w:hAnsi="宋体" w:cs="宋体"/>
                <w:color w:val="auto"/>
                <w:sz w:val="24"/>
                <w:szCs w:val="24"/>
                <w:highlight w:val="none"/>
              </w:rPr>
              <w:t>篇学术论文发表在国内核心期刊上或被国外权威期刊收录。</w:t>
            </w:r>
          </w:p>
          <w:p>
            <w:pPr>
              <w:spacing w:line="360" w:lineRule="exact"/>
              <w:rPr>
                <w:rFonts w:ascii="宋体" w:hAnsi="宋体" w:cs="宋体"/>
                <w:color w:val="auto"/>
                <w:highlight w:val="none"/>
              </w:rPr>
            </w:pPr>
            <w:r>
              <w:rPr>
                <w:rFonts w:hint="eastAsia" w:ascii="宋体" w:hAnsi="宋体" w:eastAsia="宋体" w:cs="宋体"/>
                <w:color w:val="auto"/>
                <w:sz w:val="24"/>
                <w:szCs w:val="24"/>
                <w:highlight w:val="none"/>
              </w:rPr>
              <w:t>c</w:t>
            </w:r>
            <w:r>
              <w:rPr>
                <w:rFonts w:hint="eastAsia" w:ascii="宋体" w:hAnsi="宋体" w:cs="宋体"/>
                <w:color w:val="auto"/>
                <w:sz w:val="24"/>
                <w:szCs w:val="24"/>
                <w:highlight w:val="none"/>
              </w:rPr>
              <w:t>艺术类教师有至少</w:t>
            </w:r>
            <w:r>
              <w:rPr>
                <w:rFonts w:hint="eastAsia" w:ascii="宋体" w:hAnsi="宋体" w:cs="宋体"/>
                <w:color w:val="auto"/>
                <w:highlight w:val="none"/>
              </w:rPr>
              <w:t>2</w:t>
            </w:r>
            <w:r>
              <w:rPr>
                <w:rFonts w:hint="eastAsia" w:ascii="宋体" w:hAnsi="宋体" w:cs="宋体"/>
                <w:color w:val="auto"/>
                <w:sz w:val="24"/>
                <w:szCs w:val="24"/>
                <w:highlight w:val="none"/>
              </w:rPr>
              <w:t>篇学术论文发表在国内核心期刊上或被国外权威期刊收录；同时在艺术类专业核心期刊上发表作品</w:t>
            </w:r>
            <w:r>
              <w:rPr>
                <w:rFonts w:hint="eastAsia" w:ascii="宋体" w:hAnsi="宋体" w:cs="宋体"/>
                <w:color w:val="auto"/>
                <w:highlight w:val="none"/>
              </w:rPr>
              <w:t>2</w:t>
            </w:r>
            <w:r>
              <w:rPr>
                <w:rFonts w:hint="eastAsia" w:ascii="宋体" w:hAnsi="宋体" w:cs="宋体"/>
                <w:color w:val="auto"/>
                <w:sz w:val="24"/>
                <w:szCs w:val="24"/>
                <w:highlight w:val="none"/>
              </w:rPr>
              <w:t>件以上，或在省以上电台、电视台播放作品</w:t>
            </w:r>
            <w:r>
              <w:rPr>
                <w:rFonts w:hint="eastAsia" w:ascii="宋体" w:hAnsi="宋体" w:cs="宋体"/>
                <w:color w:val="auto"/>
                <w:highlight w:val="none"/>
              </w:rPr>
              <w:t>2</w:t>
            </w:r>
            <w:r>
              <w:rPr>
                <w:rFonts w:hint="eastAsia" w:ascii="宋体" w:hAnsi="宋体" w:cs="宋体"/>
                <w:color w:val="auto"/>
                <w:sz w:val="24"/>
                <w:szCs w:val="24"/>
                <w:highlight w:val="none"/>
              </w:rPr>
              <w:t>件以上（须提供正式播放证书附带有台标的实况录像或音响资料），或由省级以上主管部门审批举办个人独唱（奏）音乐会、独舞专场演出、专场原创作品音乐会、歌舞剧、戏剧中演出主要角色、大型文艺晚会总导演</w:t>
            </w:r>
            <w:r>
              <w:rPr>
                <w:rFonts w:hint="eastAsia" w:ascii="宋体" w:hAnsi="宋体" w:cs="宋体"/>
                <w:color w:val="auto"/>
                <w:highlight w:val="none"/>
              </w:rPr>
              <w:t>1</w:t>
            </w:r>
            <w:r>
              <w:rPr>
                <w:rFonts w:hint="eastAsia" w:ascii="宋体" w:hAnsi="宋体" w:cs="宋体"/>
                <w:color w:val="auto"/>
                <w:sz w:val="24"/>
                <w:szCs w:val="24"/>
                <w:highlight w:val="none"/>
              </w:rPr>
              <w:t>次以上，或</w:t>
            </w:r>
            <w:r>
              <w:rPr>
                <w:rFonts w:hint="eastAsia" w:ascii="宋体" w:hAnsi="宋体" w:cs="宋体"/>
                <w:color w:val="auto"/>
                <w:highlight w:val="none"/>
              </w:rPr>
              <w:t>2</w:t>
            </w:r>
            <w:r>
              <w:rPr>
                <w:rFonts w:hint="eastAsia" w:ascii="宋体" w:hAnsi="宋体" w:cs="宋体"/>
                <w:color w:val="auto"/>
                <w:sz w:val="24"/>
                <w:szCs w:val="24"/>
                <w:highlight w:val="none"/>
              </w:rPr>
              <w:t>件以上作品参加省级以上有关部门举办的展览，其中至少</w:t>
            </w:r>
            <w:r>
              <w:rPr>
                <w:rFonts w:hint="eastAsia" w:ascii="宋体" w:hAnsi="宋体" w:cs="宋体"/>
                <w:color w:val="auto"/>
                <w:highlight w:val="none"/>
              </w:rPr>
              <w:t>1</w:t>
            </w:r>
            <w:r>
              <w:rPr>
                <w:rFonts w:hint="eastAsia" w:ascii="宋体" w:hAnsi="宋体" w:cs="宋体"/>
                <w:color w:val="auto"/>
                <w:sz w:val="24"/>
                <w:szCs w:val="24"/>
                <w:highlight w:val="none"/>
              </w:rPr>
              <w:t>件作品为省文联下属的一级协会举办的届展或中国文联下属的一级协会各专业艺委会展览。</w:t>
            </w:r>
          </w:p>
          <w:p>
            <w:pPr>
              <w:shd w:val="clear" w:color="auto" w:fill="FFFFFF"/>
              <w:spacing w:line="360" w:lineRule="exact"/>
              <w:rPr>
                <w:rFonts w:ascii="宋体" w:hAnsi="宋体" w:cs="宋体"/>
                <w:color w:val="auto"/>
                <w:sz w:val="24"/>
                <w:szCs w:val="24"/>
                <w:highlight w:val="none"/>
              </w:rPr>
            </w:pPr>
            <w:r>
              <w:rPr>
                <w:rFonts w:hint="eastAsia" w:ascii="宋体" w:hAnsi="宋体" w:eastAsia="宋体" w:cs="宋体"/>
                <w:color w:val="auto"/>
                <w:sz w:val="24"/>
                <w:szCs w:val="24"/>
                <w:highlight w:val="none"/>
              </w:rPr>
              <w:t>d</w:t>
            </w:r>
            <w:r>
              <w:rPr>
                <w:rFonts w:hint="eastAsia" w:ascii="宋体" w:hAnsi="宋体" w:cs="宋体"/>
                <w:color w:val="auto"/>
                <w:sz w:val="24"/>
                <w:szCs w:val="24"/>
                <w:highlight w:val="none"/>
              </w:rPr>
              <w:t>体育类教师有至少</w:t>
            </w:r>
            <w:r>
              <w:rPr>
                <w:rFonts w:hint="eastAsia" w:ascii="宋体" w:hAnsi="宋体" w:cs="宋体"/>
                <w:color w:val="auto"/>
                <w:highlight w:val="none"/>
              </w:rPr>
              <w:t>2</w:t>
            </w:r>
            <w:r>
              <w:rPr>
                <w:rFonts w:hint="eastAsia" w:ascii="宋体" w:hAnsi="宋体" w:cs="宋体"/>
                <w:color w:val="auto"/>
                <w:sz w:val="24"/>
                <w:szCs w:val="24"/>
                <w:highlight w:val="none"/>
              </w:rPr>
              <w:t>篇学术论文发表在国内核心期刊上或被国外权威期刊收录；同时在全国体育科学大会、</w:t>
            </w:r>
            <w:r>
              <w:rPr>
                <w:rFonts w:hint="eastAsia" w:ascii="宋体" w:hAnsi="宋体" w:eastAsia="宋体" w:cs="宋体"/>
                <w:color w:val="auto"/>
                <w:sz w:val="24"/>
                <w:szCs w:val="24"/>
                <w:highlight w:val="none"/>
                <w:lang w:eastAsia="zh-CN"/>
              </w:rPr>
              <w:t>全国学生（青年）运动会</w:t>
            </w:r>
            <w:r>
              <w:rPr>
                <w:rFonts w:hint="eastAsia" w:ascii="宋体" w:hAnsi="宋体" w:cs="宋体"/>
                <w:color w:val="auto"/>
                <w:sz w:val="24"/>
                <w:szCs w:val="24"/>
                <w:highlight w:val="none"/>
              </w:rPr>
              <w:t>、全国学校体育科学大会等科学报告会上有墙报交流及以上文章</w:t>
            </w:r>
            <w:r>
              <w:rPr>
                <w:rFonts w:hint="eastAsia" w:ascii="宋体" w:hAnsi="宋体" w:cs="宋体"/>
                <w:color w:val="auto"/>
                <w:highlight w:val="none"/>
              </w:rPr>
              <w:t>1</w:t>
            </w:r>
            <w:r>
              <w:rPr>
                <w:rFonts w:hint="eastAsia" w:ascii="宋体" w:hAnsi="宋体" w:cs="宋体"/>
                <w:color w:val="auto"/>
                <w:sz w:val="24"/>
                <w:szCs w:val="24"/>
                <w:highlight w:val="none"/>
              </w:rPr>
              <w:t>篇（限第一作者）。</w:t>
            </w:r>
          </w:p>
          <w:p>
            <w:pPr>
              <w:shd w:val="clear" w:color="auto" w:fill="FFFFFF"/>
              <w:spacing w:line="360" w:lineRule="exact"/>
              <w:rPr>
                <w:rFonts w:ascii="宋体" w:hAnsi="宋体" w:cs="宋体"/>
                <w:color w:val="auto"/>
                <w:sz w:val="24"/>
                <w:szCs w:val="24"/>
                <w:highlight w:val="none"/>
              </w:rPr>
            </w:pPr>
            <w:r>
              <w:rPr>
                <w:rFonts w:hint="eastAsia" w:ascii="宋体" w:hAnsi="宋体" w:eastAsia="宋体" w:cs="宋体"/>
                <w:color w:val="auto"/>
                <w:sz w:val="24"/>
                <w:szCs w:val="24"/>
                <w:highlight w:val="none"/>
              </w:rPr>
              <w:t>e</w:t>
            </w:r>
            <w:r>
              <w:rPr>
                <w:rFonts w:hint="eastAsia" w:ascii="宋体" w:hAnsi="宋体" w:cs="宋体"/>
                <w:color w:val="auto"/>
                <w:sz w:val="24"/>
                <w:szCs w:val="24"/>
                <w:highlight w:val="none"/>
              </w:rPr>
              <w:t>专职学生辅导员有至少</w:t>
            </w:r>
            <w:r>
              <w:rPr>
                <w:rFonts w:hint="eastAsia" w:ascii="宋体" w:hAnsi="宋体" w:cs="宋体"/>
                <w:color w:val="auto"/>
                <w:highlight w:val="none"/>
              </w:rPr>
              <w:t>2</w:t>
            </w:r>
            <w:r>
              <w:rPr>
                <w:rFonts w:hint="eastAsia" w:ascii="宋体" w:hAnsi="宋体" w:cs="宋体"/>
                <w:color w:val="auto"/>
                <w:sz w:val="24"/>
                <w:szCs w:val="24"/>
                <w:highlight w:val="none"/>
              </w:rPr>
              <w:t>篇学术论文发表在国内核心期刊上或被国外权威期刊收录；或出版著作</w:t>
            </w:r>
            <w:r>
              <w:rPr>
                <w:rFonts w:hint="eastAsia" w:ascii="宋体" w:hAnsi="宋体" w:cs="宋体"/>
                <w:color w:val="auto"/>
                <w:highlight w:val="none"/>
              </w:rPr>
              <w:t>1</w:t>
            </w:r>
            <w:r>
              <w:rPr>
                <w:rFonts w:hint="eastAsia" w:ascii="宋体" w:hAnsi="宋体" w:cs="宋体"/>
                <w:color w:val="auto"/>
                <w:sz w:val="24"/>
                <w:szCs w:val="24"/>
                <w:highlight w:val="none"/>
              </w:rPr>
              <w:t>部，且有</w:t>
            </w:r>
            <w:r>
              <w:rPr>
                <w:rFonts w:hint="eastAsia" w:ascii="宋体" w:hAnsi="宋体" w:cs="宋体"/>
                <w:color w:val="auto"/>
                <w:highlight w:val="none"/>
              </w:rPr>
              <w:t>1</w:t>
            </w:r>
            <w:r>
              <w:rPr>
                <w:rFonts w:hint="eastAsia" w:ascii="宋体" w:hAnsi="宋体" w:cs="宋体"/>
                <w:color w:val="auto"/>
                <w:sz w:val="24"/>
                <w:szCs w:val="24"/>
                <w:highlight w:val="none"/>
              </w:rPr>
              <w:t>篇论文发表在国内核心期刊上或被国外权威期刊收录。</w:t>
            </w:r>
          </w:p>
        </w:tc>
      </w:tr>
    </w:tbl>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tbl>
      <w:tblPr>
        <w:tblStyle w:val="10"/>
        <w:tblpPr w:leftFromText="180" w:rightFromText="180" w:vertAnchor="text" w:horzAnchor="page" w:tblpX="991" w:tblpY="228"/>
        <w:tblOverlap w:val="never"/>
        <w:tblW w:w="100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2"/>
        <w:gridCol w:w="300"/>
        <w:gridCol w:w="93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352" w:type="dxa"/>
            <w:vMerge w:val="restart"/>
            <w:tcBorders>
              <w:top w:val="single" w:color="auto" w:sz="4" w:space="0"/>
              <w:left w:val="single" w:color="auto" w:sz="4" w:space="0"/>
              <w:bottom w:val="single" w:color="auto" w:sz="4" w:space="0"/>
              <w:right w:val="single" w:color="auto" w:sz="4" w:space="0"/>
            </w:tcBorders>
          </w:tcPr>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before="78" w:line="235" w:lineRule="auto"/>
              <w:ind w:right="135"/>
              <w:jc w:val="both"/>
              <w:rPr>
                <w:rFonts w:ascii="宋体" w:hAnsi="宋体" w:eastAsia="宋体" w:cs="宋体"/>
                <w:color w:val="auto"/>
                <w:sz w:val="28"/>
                <w:szCs w:val="28"/>
                <w:highlight w:val="none"/>
              </w:rPr>
            </w:pPr>
            <w:r>
              <w:rPr>
                <w:rFonts w:hint="eastAsia" w:ascii="宋体" w:hAnsi="宋体" w:eastAsia="宋体" w:cs="宋体"/>
                <w:b/>
                <w:bCs/>
                <w:color w:val="auto"/>
                <w:spacing w:val="-4"/>
                <w:sz w:val="28"/>
                <w:szCs w:val="28"/>
                <w:highlight w:val="none"/>
              </w:rPr>
              <w:t>科研为主型副</w:t>
            </w:r>
            <w:r>
              <w:rPr>
                <w:rFonts w:ascii="宋体" w:hAnsi="宋体" w:eastAsia="宋体" w:cs="宋体"/>
                <w:b/>
                <w:bCs/>
                <w:color w:val="auto"/>
                <w:spacing w:val="-4"/>
                <w:sz w:val="28"/>
                <w:szCs w:val="28"/>
                <w:highlight w:val="none"/>
              </w:rPr>
              <w:t>教授</w:t>
            </w:r>
          </w:p>
        </w:tc>
        <w:tc>
          <w:tcPr>
            <w:tcW w:w="300" w:type="dxa"/>
            <w:tcBorders>
              <w:top w:val="single" w:color="auto" w:sz="4" w:space="0"/>
              <w:left w:val="single" w:color="auto" w:sz="4" w:space="0"/>
              <w:bottom w:val="single" w:color="auto" w:sz="4" w:space="0"/>
              <w:right w:val="single" w:color="auto" w:sz="4" w:space="0"/>
            </w:tcBorders>
          </w:tcPr>
          <w:p>
            <w:pPr>
              <w:spacing w:line="249" w:lineRule="auto"/>
              <w:jc w:val="center"/>
              <w:rPr>
                <w:color w:val="auto"/>
                <w:sz w:val="28"/>
                <w:szCs w:val="28"/>
                <w:highlight w:val="none"/>
              </w:rPr>
            </w:pPr>
          </w:p>
          <w:p>
            <w:pPr>
              <w:spacing w:line="249" w:lineRule="auto"/>
              <w:jc w:val="center"/>
              <w:rPr>
                <w:color w:val="auto"/>
                <w:sz w:val="28"/>
                <w:szCs w:val="28"/>
                <w:highlight w:val="none"/>
              </w:rPr>
            </w:pPr>
          </w:p>
          <w:p>
            <w:pPr>
              <w:spacing w:line="250" w:lineRule="auto"/>
              <w:jc w:val="center"/>
              <w:rPr>
                <w:color w:val="auto"/>
                <w:sz w:val="28"/>
                <w:szCs w:val="28"/>
                <w:highlight w:val="none"/>
              </w:rPr>
            </w:pPr>
          </w:p>
          <w:p>
            <w:pPr>
              <w:spacing w:line="250" w:lineRule="auto"/>
              <w:jc w:val="center"/>
              <w:rPr>
                <w:color w:val="auto"/>
                <w:sz w:val="28"/>
                <w:szCs w:val="28"/>
                <w:highlight w:val="none"/>
              </w:rPr>
            </w:pPr>
          </w:p>
          <w:p>
            <w:pPr>
              <w:spacing w:before="78" w:line="255" w:lineRule="auto"/>
              <w:ind w:right="146"/>
              <w:jc w:val="center"/>
              <w:rPr>
                <w:rFonts w:ascii="宋体" w:hAnsi="宋体" w:eastAsia="宋体" w:cs="宋体"/>
                <w:color w:val="auto"/>
                <w:sz w:val="28"/>
                <w:szCs w:val="28"/>
                <w:highlight w:val="none"/>
              </w:rPr>
            </w:pPr>
            <w:r>
              <w:rPr>
                <w:rFonts w:hint="eastAsia" w:ascii="宋体" w:hAnsi="宋体" w:cs="宋体"/>
                <w:color w:val="auto"/>
                <w:sz w:val="24"/>
                <w:szCs w:val="24"/>
                <w:highlight w:val="none"/>
              </w:rPr>
              <w:t>专业工作能力</w:t>
            </w:r>
          </w:p>
        </w:tc>
        <w:tc>
          <w:tcPr>
            <w:tcW w:w="9360" w:type="dxa"/>
            <w:tcBorders>
              <w:top w:val="single" w:color="auto" w:sz="4" w:space="0"/>
              <w:left w:val="single" w:color="auto" w:sz="4" w:space="0"/>
              <w:bottom w:val="single" w:color="auto" w:sz="4" w:space="0"/>
              <w:right w:val="single" w:color="auto" w:sz="4" w:space="0"/>
            </w:tcBorders>
          </w:tcPr>
          <w:p>
            <w:pPr>
              <w:spacing w:line="360" w:lineRule="exact"/>
              <w:rPr>
                <w:rFonts w:ascii="宋体" w:hAnsi="宋体" w:cs="宋体"/>
                <w:b/>
                <w:bCs/>
                <w:color w:val="auto"/>
                <w:highlight w:val="none"/>
              </w:rPr>
            </w:pPr>
            <w:r>
              <w:rPr>
                <w:rFonts w:hint="eastAsia" w:ascii="宋体" w:hAnsi="宋体" w:cs="宋体"/>
                <w:b/>
                <w:bCs/>
                <w:color w:val="auto"/>
                <w:sz w:val="24"/>
                <w:szCs w:val="24"/>
                <w:highlight w:val="none"/>
              </w:rPr>
              <w:t>任现职以来，专业工作能力应具备下列条件：</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①具有系统、扎实的理论基础和专业知识、技能，在丰富的学术实践基础上形成了较稳定的研究方向。能及时把握本学科领域前沿发展动态，对教学规律和教学方法有较深入的研究，具有较强的教育教学和科学研究能力。</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②每学年至少承担1门全日制普通本科生课程的讲授工作，完成学校规定的教学、科研等工作任务。将思想政治教育较好融入教学，在学生培养工作中做出较大贡献。</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③年均教学工作量不少于64标时，且任现职以来年度教学质量考核均为合格以上。</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④任现职期间有1年以上教学科研管理工作经历。指导青年教师、进修教师学习1年以上。</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⑤主持或积极参与学院、系学科专业建设、人才培养方案制定、专业评估、产业学院建设、实验室建设等各项院系公共工作。</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⑥经学校认定的“双师型</w:t>
            </w:r>
            <w:r>
              <w:rPr>
                <w:rFonts w:ascii="宋体" w:hAnsi="宋体" w:cs="宋体"/>
                <w:color w:val="auto"/>
                <w:sz w:val="24"/>
                <w:szCs w:val="24"/>
                <w:highlight w:val="none"/>
              </w:rPr>
              <w:t>”</w:t>
            </w:r>
            <w:r>
              <w:rPr>
                <w:rFonts w:hint="eastAsia" w:ascii="宋体" w:hAnsi="宋体" w:cs="宋体"/>
                <w:color w:val="auto"/>
                <w:sz w:val="24"/>
                <w:szCs w:val="24"/>
                <w:highlight w:val="none"/>
              </w:rPr>
              <w:t>教师或在国家机关、企事业单位、基层挂职工作6个月以上并产生较好的社会经济效益或取得突出成绩的。</w:t>
            </w:r>
          </w:p>
          <w:p>
            <w:pPr>
              <w:spacing w:line="360" w:lineRule="auto"/>
              <w:rPr>
                <w:rFonts w:ascii="宋体" w:hAnsi="宋体" w:cs="宋体"/>
                <w:color w:val="auto"/>
                <w:sz w:val="24"/>
                <w:szCs w:val="24"/>
                <w:highlight w:val="none"/>
              </w:rPr>
            </w:pPr>
            <w:r>
              <w:rPr>
                <w:rFonts w:hint="eastAsia" w:ascii="微软雅黑" w:hAnsi="微软雅黑" w:eastAsia="微软雅黑" w:cs="微软雅黑"/>
                <w:color w:val="auto"/>
                <w:sz w:val="24"/>
                <w:szCs w:val="24"/>
                <w:highlight w:val="none"/>
              </w:rPr>
              <w:t>⑦</w:t>
            </w:r>
            <w:r>
              <w:rPr>
                <w:rFonts w:hint="eastAsia" w:ascii="宋体" w:hAnsi="宋体" w:eastAsia="宋体" w:cs="宋体"/>
                <w:color w:val="auto"/>
                <w:sz w:val="24"/>
                <w:szCs w:val="24"/>
                <w:highlight w:val="none"/>
              </w:rPr>
              <w:t>参与校</w:t>
            </w:r>
            <w:r>
              <w:rPr>
                <w:rFonts w:hint="eastAsia" w:ascii="宋体" w:hAnsi="宋体" w:eastAsia="宋体" w:cs="宋体"/>
                <w:color w:val="auto"/>
                <w:sz w:val="24"/>
                <w:szCs w:val="24"/>
                <w:highlight w:val="none"/>
                <w:lang w:val="en-US" w:eastAsia="zh-CN"/>
              </w:rPr>
              <w:t>级以上单位</w:t>
            </w:r>
            <w:r>
              <w:rPr>
                <w:rFonts w:hint="eastAsia" w:ascii="宋体" w:hAnsi="宋体" w:eastAsia="宋体" w:cs="宋体"/>
                <w:color w:val="auto"/>
                <w:sz w:val="24"/>
                <w:szCs w:val="24"/>
                <w:highlight w:val="none"/>
              </w:rPr>
              <w:t>组织的各类竞赛</w:t>
            </w:r>
            <w:r>
              <w:rPr>
                <w:rFonts w:hint="eastAsia" w:ascii="宋体" w:hAnsi="宋体" w:eastAsia="宋体" w:cs="宋体"/>
                <w:color w:val="auto"/>
                <w:sz w:val="24"/>
                <w:szCs w:val="24"/>
                <w:highlight w:val="none"/>
                <w:lang w:val="en-US" w:eastAsia="zh-CN"/>
              </w:rPr>
              <w:t>一次以上</w:t>
            </w:r>
            <w:r>
              <w:rPr>
                <w:rFonts w:hint="eastAsia" w:ascii="宋体" w:hAnsi="宋体" w:eastAsia="宋体" w:cs="宋体"/>
                <w:color w:val="auto"/>
                <w:sz w:val="24"/>
                <w:szCs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352" w:type="dxa"/>
            <w:vMerge w:val="continue"/>
            <w:tcBorders>
              <w:top w:val="single" w:color="auto" w:sz="4" w:space="0"/>
              <w:left w:val="single" w:color="auto" w:sz="4" w:space="0"/>
              <w:bottom w:val="single" w:color="auto" w:sz="4" w:space="0"/>
              <w:right w:val="single" w:color="auto" w:sz="4" w:space="0"/>
            </w:tcBorders>
          </w:tcPr>
          <w:p>
            <w:pPr>
              <w:jc w:val="center"/>
              <w:rPr>
                <w:color w:val="auto"/>
                <w:sz w:val="28"/>
                <w:szCs w:val="28"/>
                <w:highlight w:val="none"/>
              </w:rPr>
            </w:pPr>
          </w:p>
        </w:tc>
        <w:tc>
          <w:tcPr>
            <w:tcW w:w="300" w:type="dxa"/>
            <w:tcBorders>
              <w:top w:val="single" w:color="auto" w:sz="4" w:space="0"/>
              <w:left w:val="single" w:color="auto" w:sz="4" w:space="0"/>
              <w:bottom w:val="single" w:color="auto" w:sz="4" w:space="0"/>
              <w:right w:val="single" w:color="auto" w:sz="4" w:space="0"/>
            </w:tcBorders>
          </w:tcPr>
          <w:p>
            <w:pPr>
              <w:spacing w:line="259" w:lineRule="auto"/>
              <w:jc w:val="center"/>
              <w:rPr>
                <w:color w:val="auto"/>
                <w:sz w:val="28"/>
                <w:szCs w:val="28"/>
                <w:highlight w:val="none"/>
              </w:rPr>
            </w:pPr>
          </w:p>
          <w:p>
            <w:pPr>
              <w:spacing w:before="12" w:line="220" w:lineRule="auto"/>
              <w:jc w:val="both"/>
              <w:rPr>
                <w:rFonts w:ascii="宋体" w:hAnsi="宋体" w:eastAsia="宋体" w:cs="宋体"/>
                <w:color w:val="auto"/>
                <w:sz w:val="28"/>
                <w:szCs w:val="28"/>
                <w:highlight w:val="none"/>
              </w:rPr>
            </w:pPr>
            <w:r>
              <w:rPr>
                <w:rFonts w:hint="eastAsia" w:ascii="宋体" w:hAnsi="宋体" w:cs="宋体"/>
                <w:color w:val="auto"/>
                <w:sz w:val="24"/>
                <w:szCs w:val="24"/>
                <w:highlight w:val="none"/>
              </w:rPr>
              <w:t>业绩与科研成果</w:t>
            </w:r>
          </w:p>
        </w:tc>
        <w:tc>
          <w:tcPr>
            <w:tcW w:w="9360" w:type="dxa"/>
            <w:tcBorders>
              <w:top w:val="single" w:color="auto" w:sz="4" w:space="0"/>
              <w:left w:val="single" w:color="auto" w:sz="4" w:space="0"/>
              <w:bottom w:val="single" w:color="auto" w:sz="4" w:space="0"/>
              <w:right w:val="single" w:color="auto" w:sz="4" w:space="0"/>
            </w:tcBorders>
          </w:tcPr>
          <w:p>
            <w:pPr>
              <w:spacing w:line="360" w:lineRule="exact"/>
              <w:rPr>
                <w:rFonts w:ascii="宋体" w:hAnsi="宋体" w:cs="宋体"/>
                <w:b/>
                <w:bCs/>
                <w:color w:val="auto"/>
                <w:sz w:val="24"/>
                <w:szCs w:val="24"/>
                <w:highlight w:val="none"/>
              </w:rPr>
            </w:pPr>
            <w:r>
              <w:rPr>
                <w:rFonts w:hint="eastAsia" w:ascii="宋体" w:hAnsi="宋体" w:cs="宋体"/>
                <w:b/>
                <w:bCs/>
                <w:color w:val="auto"/>
                <w:sz w:val="24"/>
                <w:szCs w:val="24"/>
                <w:highlight w:val="none"/>
              </w:rPr>
              <w:t>任现职以来，工作业绩必须同时具备下列条件①至②中一条以及③至⑦中一条：</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①主持完成省（部）级科研项目</w:t>
            </w:r>
            <w:r>
              <w:rPr>
                <w:rFonts w:hint="eastAsia" w:ascii="宋体" w:hAnsi="宋体" w:cs="宋体"/>
                <w:color w:val="auto"/>
                <w:highlight w:val="none"/>
              </w:rPr>
              <w:t>1</w:t>
            </w:r>
            <w:r>
              <w:rPr>
                <w:rFonts w:hint="eastAsia" w:ascii="宋体" w:hAnsi="宋体" w:cs="宋体"/>
                <w:color w:val="auto"/>
                <w:sz w:val="24"/>
                <w:szCs w:val="24"/>
                <w:highlight w:val="none"/>
              </w:rPr>
              <w:t>项。</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②获国家级（限前</w:t>
            </w:r>
            <w:r>
              <w:rPr>
                <w:rFonts w:hint="eastAsia" w:ascii="宋体" w:hAnsi="宋体" w:cs="宋体"/>
                <w:color w:val="auto"/>
                <w:highlight w:val="none"/>
              </w:rPr>
              <w:t>7</w:t>
            </w:r>
            <w:r>
              <w:rPr>
                <w:rFonts w:hint="eastAsia" w:ascii="宋体" w:hAnsi="宋体" w:cs="宋体"/>
                <w:color w:val="auto"/>
                <w:sz w:val="24"/>
                <w:szCs w:val="24"/>
                <w:highlight w:val="none"/>
              </w:rPr>
              <w:t>名）或省（部）级（一等奖限前</w:t>
            </w:r>
            <w:r>
              <w:rPr>
                <w:rFonts w:hint="eastAsia" w:ascii="宋体" w:hAnsi="宋体" w:cs="宋体"/>
                <w:color w:val="auto"/>
                <w:highlight w:val="none"/>
              </w:rPr>
              <w:t>4</w:t>
            </w:r>
            <w:r>
              <w:rPr>
                <w:rFonts w:hint="eastAsia" w:ascii="宋体" w:hAnsi="宋体" w:cs="宋体"/>
                <w:color w:val="auto"/>
                <w:sz w:val="24"/>
                <w:szCs w:val="24"/>
                <w:highlight w:val="none"/>
              </w:rPr>
              <w:t>名、二等奖限前</w:t>
            </w:r>
            <w:r>
              <w:rPr>
                <w:rFonts w:hint="eastAsia" w:ascii="宋体" w:hAnsi="宋体" w:cs="宋体"/>
                <w:color w:val="auto"/>
                <w:highlight w:val="none"/>
              </w:rPr>
              <w:t>3</w:t>
            </w:r>
            <w:r>
              <w:rPr>
                <w:rFonts w:hint="eastAsia" w:ascii="宋体" w:hAnsi="宋体" w:cs="宋体"/>
                <w:color w:val="auto"/>
                <w:sz w:val="24"/>
                <w:szCs w:val="24"/>
                <w:highlight w:val="none"/>
              </w:rPr>
              <w:t>名、三等奖限前</w:t>
            </w:r>
            <w:r>
              <w:rPr>
                <w:rFonts w:hint="eastAsia" w:ascii="宋体" w:hAnsi="宋体" w:cs="宋体"/>
                <w:color w:val="auto"/>
                <w:highlight w:val="none"/>
              </w:rPr>
              <w:t>2</w:t>
            </w:r>
            <w:r>
              <w:rPr>
                <w:rFonts w:hint="eastAsia" w:ascii="宋体" w:hAnsi="宋体" w:cs="宋体"/>
                <w:color w:val="auto"/>
                <w:sz w:val="24"/>
                <w:szCs w:val="24"/>
                <w:highlight w:val="none"/>
              </w:rPr>
              <w:t>名）奖。</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③在国内核心期刊上发表学术论文</w:t>
            </w:r>
            <w:r>
              <w:rPr>
                <w:rFonts w:hint="eastAsia" w:ascii="宋体" w:hAnsi="宋体" w:cs="宋体"/>
                <w:color w:val="auto"/>
                <w:highlight w:val="none"/>
              </w:rPr>
              <w:t>4</w:t>
            </w:r>
            <w:r>
              <w:rPr>
                <w:rFonts w:hint="eastAsia" w:ascii="宋体" w:hAnsi="宋体" w:cs="宋体"/>
                <w:color w:val="auto"/>
                <w:sz w:val="24"/>
                <w:szCs w:val="24"/>
                <w:highlight w:val="none"/>
              </w:rPr>
              <w:t>篇以上。</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④出版学术专著</w:t>
            </w:r>
            <w:r>
              <w:rPr>
                <w:rFonts w:hint="eastAsia" w:ascii="宋体" w:hAnsi="宋体" w:cs="宋体"/>
                <w:color w:val="auto"/>
                <w:highlight w:val="none"/>
              </w:rPr>
              <w:t>1</w:t>
            </w:r>
            <w:r>
              <w:rPr>
                <w:rFonts w:hint="eastAsia" w:ascii="宋体" w:hAnsi="宋体" w:cs="宋体"/>
                <w:color w:val="auto"/>
                <w:sz w:val="24"/>
                <w:szCs w:val="24"/>
                <w:highlight w:val="none"/>
              </w:rPr>
              <w:t>部，且有</w:t>
            </w:r>
            <w:r>
              <w:rPr>
                <w:rFonts w:hint="eastAsia" w:ascii="宋体" w:hAnsi="宋体" w:cs="宋体"/>
                <w:color w:val="auto"/>
                <w:highlight w:val="none"/>
              </w:rPr>
              <w:t>3</w:t>
            </w:r>
            <w:r>
              <w:rPr>
                <w:rFonts w:hint="eastAsia" w:ascii="宋体" w:hAnsi="宋体" w:cs="宋体"/>
                <w:color w:val="auto"/>
                <w:sz w:val="24"/>
                <w:szCs w:val="24"/>
                <w:highlight w:val="none"/>
              </w:rPr>
              <w:t>篇学术论文发表在国内核心期刊上或被国外权威期刊收录。</w:t>
            </w:r>
          </w:p>
          <w:p>
            <w:pPr>
              <w:spacing w:line="360" w:lineRule="exact"/>
              <w:rPr>
                <w:rFonts w:ascii="宋体" w:hAnsi="宋体" w:cs="宋体"/>
                <w:color w:val="auto"/>
                <w:highlight w:val="none"/>
              </w:rPr>
            </w:pPr>
            <w:r>
              <w:rPr>
                <w:rFonts w:hint="eastAsia" w:ascii="宋体" w:hAnsi="宋体" w:cs="宋体"/>
                <w:color w:val="auto"/>
                <w:sz w:val="24"/>
                <w:szCs w:val="24"/>
                <w:highlight w:val="none"/>
              </w:rPr>
              <w:t>⑤被国外权威期刊收录学术论文</w:t>
            </w:r>
            <w:r>
              <w:rPr>
                <w:rFonts w:hint="eastAsia" w:ascii="宋体" w:hAnsi="宋体" w:cs="宋体"/>
                <w:color w:val="auto"/>
                <w:highlight w:val="none"/>
              </w:rPr>
              <w:t>4</w:t>
            </w:r>
            <w:r>
              <w:rPr>
                <w:rFonts w:hint="eastAsia" w:ascii="宋体" w:hAnsi="宋体" w:cs="宋体"/>
                <w:color w:val="auto"/>
                <w:sz w:val="24"/>
                <w:szCs w:val="24"/>
                <w:highlight w:val="none"/>
              </w:rPr>
              <w:t>篇以上。</w:t>
            </w:r>
          </w:p>
          <w:p>
            <w:pPr>
              <w:spacing w:line="360" w:lineRule="exact"/>
              <w:rPr>
                <w:rFonts w:ascii="宋体" w:hAnsi="宋体" w:cs="宋体"/>
                <w:color w:val="auto"/>
                <w:sz w:val="24"/>
                <w:szCs w:val="24"/>
                <w:highlight w:val="none"/>
              </w:rPr>
            </w:pPr>
            <w:r>
              <w:rPr>
                <w:rFonts w:hint="eastAsia" w:ascii="微软雅黑" w:hAnsi="微软雅黑" w:eastAsia="微软雅黑" w:cs="微软雅黑"/>
                <w:color w:val="auto"/>
                <w:sz w:val="24"/>
                <w:szCs w:val="24"/>
                <w:highlight w:val="none"/>
              </w:rPr>
              <w:t>⑥</w:t>
            </w:r>
            <w:r>
              <w:rPr>
                <w:rFonts w:hint="eastAsia" w:ascii="宋体" w:hAnsi="宋体" w:cs="宋体"/>
                <w:color w:val="auto"/>
                <w:sz w:val="24"/>
                <w:szCs w:val="24"/>
                <w:highlight w:val="none"/>
              </w:rPr>
              <w:t>理工科类：主持横向课题单项到账经费2</w:t>
            </w:r>
            <w:r>
              <w:rPr>
                <w:rFonts w:hint="eastAsia" w:ascii="宋体" w:hAnsi="宋体" w:eastAsia="宋体" w:cs="宋体"/>
                <w:color w:val="auto"/>
                <w:sz w:val="24"/>
                <w:szCs w:val="24"/>
                <w:highlight w:val="none"/>
                <w:lang w:val="en-US" w:eastAsia="zh-CN"/>
              </w:rPr>
              <w:t>5</w:t>
            </w:r>
            <w:r>
              <w:rPr>
                <w:rFonts w:hint="eastAsia" w:ascii="宋体" w:hAnsi="宋体" w:cs="宋体"/>
                <w:color w:val="auto"/>
                <w:sz w:val="24"/>
                <w:szCs w:val="24"/>
                <w:highlight w:val="none"/>
              </w:rPr>
              <w:t>万元以上，或累计到账经费</w:t>
            </w:r>
            <w:r>
              <w:rPr>
                <w:rFonts w:hint="eastAsia" w:ascii="宋体" w:hAnsi="宋体" w:eastAsia="宋体" w:cs="宋体"/>
                <w:color w:val="auto"/>
                <w:sz w:val="24"/>
                <w:szCs w:val="24"/>
                <w:highlight w:val="none"/>
                <w:lang w:val="en-US" w:eastAsia="zh-CN"/>
              </w:rPr>
              <w:t>50</w:t>
            </w:r>
            <w:r>
              <w:rPr>
                <w:rFonts w:hint="eastAsia" w:ascii="宋体" w:hAnsi="宋体" w:cs="宋体"/>
                <w:color w:val="auto"/>
                <w:sz w:val="24"/>
                <w:szCs w:val="24"/>
                <w:highlight w:val="none"/>
              </w:rPr>
              <w:t xml:space="preserve">万元以上； </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人文社科类：主持横向课题单项到账经费1</w:t>
            </w:r>
            <w:r>
              <w:rPr>
                <w:rFonts w:hint="eastAsia" w:ascii="宋体" w:hAnsi="宋体" w:eastAsia="宋体" w:cs="宋体"/>
                <w:color w:val="auto"/>
                <w:sz w:val="24"/>
                <w:szCs w:val="24"/>
                <w:highlight w:val="none"/>
                <w:lang w:val="en-US" w:eastAsia="zh-CN"/>
              </w:rPr>
              <w:t>5</w:t>
            </w:r>
            <w:r>
              <w:rPr>
                <w:rFonts w:hint="eastAsia" w:ascii="宋体" w:hAnsi="宋体" w:cs="宋体"/>
                <w:color w:val="auto"/>
                <w:sz w:val="24"/>
                <w:szCs w:val="24"/>
                <w:highlight w:val="none"/>
              </w:rPr>
              <w:t>万元以上，或累计到账经费</w:t>
            </w:r>
            <w:r>
              <w:rPr>
                <w:rFonts w:hint="eastAsia" w:ascii="宋体" w:hAnsi="宋体" w:eastAsia="宋体" w:cs="宋体"/>
                <w:color w:val="auto"/>
                <w:sz w:val="24"/>
                <w:szCs w:val="24"/>
                <w:highlight w:val="none"/>
                <w:lang w:val="en-US" w:eastAsia="zh-CN"/>
              </w:rPr>
              <w:t>30</w:t>
            </w:r>
            <w:r>
              <w:rPr>
                <w:rFonts w:hint="eastAsia" w:ascii="宋体" w:hAnsi="宋体" w:cs="宋体"/>
                <w:color w:val="auto"/>
                <w:sz w:val="24"/>
                <w:szCs w:val="24"/>
                <w:highlight w:val="none"/>
              </w:rPr>
              <w:t>万元以上。</w:t>
            </w:r>
          </w:p>
          <w:p>
            <w:pPr>
              <w:shd w:val="clear" w:color="auto" w:fill="FFFFFF"/>
              <w:spacing w:line="360" w:lineRule="exact"/>
              <w:rPr>
                <w:rFonts w:ascii="宋体" w:hAnsi="宋体" w:cs="宋体"/>
                <w:color w:val="auto"/>
                <w:sz w:val="24"/>
                <w:szCs w:val="24"/>
                <w:highlight w:val="none"/>
              </w:rPr>
            </w:pPr>
            <w:r>
              <w:rPr>
                <w:rFonts w:hint="eastAsia" w:ascii="微软雅黑" w:hAnsi="微软雅黑" w:eastAsia="微软雅黑" w:cs="微软雅黑"/>
                <w:color w:val="auto"/>
                <w:sz w:val="24"/>
                <w:szCs w:val="24"/>
                <w:highlight w:val="none"/>
              </w:rPr>
              <w:t>⑦</w:t>
            </w:r>
            <w:r>
              <w:rPr>
                <w:rFonts w:hint="eastAsia" w:ascii="宋体" w:hAnsi="宋体" w:cs="宋体"/>
                <w:color w:val="auto"/>
                <w:sz w:val="24"/>
                <w:szCs w:val="24"/>
                <w:highlight w:val="none"/>
              </w:rPr>
              <w:t>作为第一发明人获得国家发明专利</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rPr>
              <w:t>项，或获得软件著作权2项，实现专利成果转化产生经济效益或转化成果收益20万元以上</w:t>
            </w:r>
            <w:r>
              <w:rPr>
                <w:rFonts w:ascii="仿宋_GB2312" w:hAnsi="仿宋_GB2312" w:eastAsia="仿宋_GB2312" w:cs="仿宋_GB2312"/>
                <w:color w:val="auto"/>
                <w:sz w:val="31"/>
                <w:szCs w:val="31"/>
                <w:highlight w:val="none"/>
              </w:rPr>
              <w:t>。</w:t>
            </w:r>
          </w:p>
        </w:tc>
      </w:tr>
    </w:tbl>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p>
      <w:pPr>
        <w:rPr>
          <w:color w:val="auto"/>
          <w:sz w:val="28"/>
          <w:szCs w:val="28"/>
          <w:highlight w:val="none"/>
        </w:rPr>
      </w:pPr>
    </w:p>
    <w:tbl>
      <w:tblPr>
        <w:tblStyle w:val="10"/>
        <w:tblpPr w:leftFromText="180" w:rightFromText="180" w:vertAnchor="text" w:horzAnchor="page" w:tblpX="991" w:tblpY="110"/>
        <w:tblOverlap w:val="never"/>
        <w:tblW w:w="995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2"/>
        <w:gridCol w:w="300"/>
        <w:gridCol w:w="93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92" w:type="dxa"/>
            <w:vMerge w:val="restart"/>
            <w:tcBorders>
              <w:top w:val="single" w:color="auto" w:sz="4" w:space="0"/>
              <w:left w:val="single" w:color="auto" w:sz="4" w:space="0"/>
              <w:bottom w:val="single" w:color="auto" w:sz="4" w:space="0"/>
              <w:right w:val="single" w:color="auto" w:sz="4" w:space="0"/>
            </w:tcBorders>
          </w:tcPr>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242" w:lineRule="auto"/>
              <w:jc w:val="center"/>
              <w:rPr>
                <w:color w:val="auto"/>
                <w:sz w:val="28"/>
                <w:szCs w:val="28"/>
                <w:highlight w:val="none"/>
              </w:rPr>
            </w:pPr>
          </w:p>
          <w:p>
            <w:pPr>
              <w:spacing w:line="360" w:lineRule="exact"/>
              <w:ind w:firstLine="578" w:firstLineChars="200"/>
              <w:rPr>
                <w:rFonts w:ascii="宋体" w:hAnsi="宋体" w:eastAsia="宋体" w:cs="宋体"/>
                <w:color w:val="auto"/>
                <w:sz w:val="28"/>
                <w:szCs w:val="28"/>
                <w:highlight w:val="none"/>
              </w:rPr>
            </w:pPr>
            <w:r>
              <w:rPr>
                <w:rFonts w:hint="eastAsia" w:ascii="宋体" w:hAnsi="宋体" w:eastAsia="宋体" w:cs="宋体"/>
                <w:b/>
                <w:bCs/>
                <w:color w:val="auto"/>
                <w:spacing w:val="4"/>
                <w:sz w:val="28"/>
                <w:szCs w:val="28"/>
                <w:highlight w:val="none"/>
              </w:rPr>
              <w:t>社</w:t>
            </w:r>
            <w:r>
              <w:rPr>
                <w:rFonts w:hint="eastAsia" w:ascii="宋体" w:hAnsi="宋体" w:eastAsia="宋体" w:cs="宋体"/>
                <w:b/>
                <w:bCs/>
                <w:color w:val="auto"/>
                <w:spacing w:val="-4"/>
                <w:sz w:val="28"/>
                <w:szCs w:val="28"/>
                <w:highlight w:val="none"/>
              </w:rPr>
              <w:t>社会服务与推广型副</w:t>
            </w:r>
            <w:r>
              <w:rPr>
                <w:rFonts w:ascii="宋体" w:hAnsi="宋体" w:eastAsia="宋体" w:cs="宋体"/>
                <w:b/>
                <w:bCs/>
                <w:color w:val="auto"/>
                <w:spacing w:val="-4"/>
                <w:sz w:val="28"/>
                <w:szCs w:val="28"/>
                <w:highlight w:val="none"/>
              </w:rPr>
              <w:t>教授</w:t>
            </w:r>
          </w:p>
        </w:tc>
        <w:tc>
          <w:tcPr>
            <w:tcW w:w="300" w:type="dxa"/>
            <w:tcBorders>
              <w:top w:val="single" w:color="auto" w:sz="4" w:space="0"/>
              <w:left w:val="single" w:color="auto" w:sz="4" w:space="0"/>
              <w:bottom w:val="single" w:color="auto" w:sz="4" w:space="0"/>
              <w:right w:val="single" w:color="auto" w:sz="4" w:space="0"/>
            </w:tcBorders>
          </w:tcPr>
          <w:p>
            <w:pPr>
              <w:spacing w:line="249" w:lineRule="auto"/>
              <w:jc w:val="center"/>
              <w:rPr>
                <w:color w:val="auto"/>
                <w:sz w:val="28"/>
                <w:szCs w:val="28"/>
                <w:highlight w:val="none"/>
              </w:rPr>
            </w:pPr>
          </w:p>
          <w:p>
            <w:pPr>
              <w:spacing w:line="249" w:lineRule="auto"/>
              <w:jc w:val="center"/>
              <w:rPr>
                <w:color w:val="auto"/>
                <w:sz w:val="28"/>
                <w:szCs w:val="28"/>
                <w:highlight w:val="none"/>
              </w:rPr>
            </w:pPr>
          </w:p>
          <w:p>
            <w:pPr>
              <w:spacing w:line="250" w:lineRule="auto"/>
              <w:jc w:val="center"/>
              <w:rPr>
                <w:color w:val="auto"/>
                <w:sz w:val="28"/>
                <w:szCs w:val="28"/>
                <w:highlight w:val="none"/>
              </w:rPr>
            </w:pPr>
          </w:p>
          <w:p>
            <w:pPr>
              <w:spacing w:line="250" w:lineRule="auto"/>
              <w:jc w:val="center"/>
              <w:rPr>
                <w:color w:val="auto"/>
                <w:sz w:val="28"/>
                <w:szCs w:val="28"/>
                <w:highlight w:val="none"/>
              </w:rPr>
            </w:pPr>
          </w:p>
          <w:p>
            <w:pPr>
              <w:spacing w:before="78" w:line="255" w:lineRule="auto"/>
              <w:ind w:right="146"/>
              <w:jc w:val="center"/>
              <w:rPr>
                <w:rFonts w:ascii="宋体" w:hAnsi="宋体" w:eastAsia="宋体" w:cs="宋体"/>
                <w:color w:val="auto"/>
                <w:sz w:val="28"/>
                <w:szCs w:val="28"/>
                <w:highlight w:val="none"/>
              </w:rPr>
            </w:pPr>
            <w:r>
              <w:rPr>
                <w:rFonts w:hint="eastAsia" w:ascii="宋体" w:hAnsi="宋体" w:cs="宋体"/>
                <w:color w:val="auto"/>
                <w:sz w:val="24"/>
                <w:szCs w:val="24"/>
                <w:highlight w:val="none"/>
              </w:rPr>
              <w:t>专业工作能力</w:t>
            </w:r>
          </w:p>
        </w:tc>
        <w:tc>
          <w:tcPr>
            <w:tcW w:w="9360" w:type="dxa"/>
            <w:tcBorders>
              <w:top w:val="single" w:color="auto" w:sz="4" w:space="0"/>
              <w:left w:val="single" w:color="auto" w:sz="4" w:space="0"/>
              <w:bottom w:val="single" w:color="auto" w:sz="4" w:space="0"/>
              <w:right w:val="single" w:color="auto" w:sz="4" w:space="0"/>
            </w:tcBorders>
          </w:tcPr>
          <w:p>
            <w:pPr>
              <w:spacing w:line="360" w:lineRule="exact"/>
              <w:rPr>
                <w:rFonts w:ascii="宋体" w:hAnsi="宋体" w:cs="宋体"/>
                <w:b/>
                <w:bCs/>
                <w:color w:val="auto"/>
                <w:sz w:val="24"/>
                <w:szCs w:val="24"/>
                <w:highlight w:val="none"/>
              </w:rPr>
            </w:pPr>
            <w:r>
              <w:rPr>
                <w:rFonts w:hint="eastAsia" w:ascii="宋体" w:hAnsi="宋体" w:cs="宋体"/>
                <w:b/>
                <w:bCs/>
                <w:color w:val="auto"/>
                <w:sz w:val="24"/>
                <w:szCs w:val="24"/>
                <w:highlight w:val="none"/>
              </w:rPr>
              <w:t>任现职以来，专业工作能力应具备下列条件：</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①具有系统的专业基础理论和生产实践经验，具有承担重大横向技术研究开发课题、开展技术咨询服务的能力，在成果转化、技术咨询与推广、艺术创作与推广、提供政策咨询等方面产生重要的影响力以及显著的经济社会效益。</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②每学年至少承担1门全日制普通本科生课程的讲授工作</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rPr>
              <w:t>完成学校规定的教学、科研等工作任务。将思想政治教育较好融入教学，在学生培养工作中做出较大贡献。</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③年均教学工作量不少于64标时，且任现职以来年度教学质量考核均为合格以上。</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④任现职期间有1年以上教学科研管理工作经历。指导青年教师、进修教师学习1年以上。</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⑤主持或积极参与学院、系学科专业建设、人才培养方案制定、专业评估、产业学院建设、实验室建设等各项院系公共工作。</w:t>
            </w:r>
          </w:p>
          <w:p>
            <w:pPr>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⑥经学校认定的“双师型</w:t>
            </w:r>
            <w:r>
              <w:rPr>
                <w:rFonts w:ascii="宋体" w:hAnsi="宋体" w:cs="宋体"/>
                <w:color w:val="auto"/>
                <w:sz w:val="24"/>
                <w:szCs w:val="24"/>
                <w:highlight w:val="none"/>
              </w:rPr>
              <w:t>”</w:t>
            </w:r>
            <w:r>
              <w:rPr>
                <w:rFonts w:hint="eastAsia" w:ascii="宋体" w:hAnsi="宋体" w:cs="宋体"/>
                <w:color w:val="auto"/>
                <w:sz w:val="24"/>
                <w:szCs w:val="24"/>
                <w:highlight w:val="none"/>
              </w:rPr>
              <w:t>教师或在国家机关、企事业单位、基层挂职工作6个月以上并产生较好的社会经济效益或取得突出成绩的。</w:t>
            </w:r>
          </w:p>
          <w:p>
            <w:pPr>
              <w:spacing w:line="360" w:lineRule="exact"/>
              <w:rPr>
                <w:rFonts w:hint="eastAsia" w:ascii="宋体" w:hAnsi="宋体" w:cs="宋体"/>
                <w:color w:val="auto"/>
                <w:sz w:val="24"/>
                <w:szCs w:val="24"/>
                <w:highlight w:val="none"/>
              </w:rPr>
            </w:pPr>
            <w:r>
              <w:rPr>
                <w:rFonts w:hint="eastAsia" w:ascii="微软雅黑" w:hAnsi="微软雅黑" w:eastAsia="微软雅黑" w:cs="微软雅黑"/>
                <w:color w:val="auto"/>
                <w:sz w:val="24"/>
                <w:szCs w:val="24"/>
                <w:highlight w:val="none"/>
              </w:rPr>
              <w:t>⑦</w:t>
            </w:r>
            <w:r>
              <w:rPr>
                <w:rFonts w:hint="eastAsia" w:ascii="宋体" w:hAnsi="宋体" w:eastAsia="宋体" w:cs="宋体"/>
                <w:color w:val="auto"/>
                <w:sz w:val="24"/>
                <w:szCs w:val="24"/>
                <w:highlight w:val="none"/>
              </w:rPr>
              <w:t>参与校</w:t>
            </w:r>
            <w:r>
              <w:rPr>
                <w:rFonts w:hint="eastAsia" w:ascii="宋体" w:hAnsi="宋体" w:eastAsia="宋体" w:cs="宋体"/>
                <w:color w:val="auto"/>
                <w:sz w:val="24"/>
                <w:szCs w:val="24"/>
                <w:highlight w:val="none"/>
                <w:lang w:val="en-US" w:eastAsia="zh-CN"/>
              </w:rPr>
              <w:t>级以上单位</w:t>
            </w:r>
            <w:r>
              <w:rPr>
                <w:rFonts w:hint="eastAsia" w:ascii="宋体" w:hAnsi="宋体" w:eastAsia="宋体" w:cs="宋体"/>
                <w:color w:val="auto"/>
                <w:sz w:val="24"/>
                <w:szCs w:val="24"/>
                <w:highlight w:val="none"/>
              </w:rPr>
              <w:t>组织的各类竞赛</w:t>
            </w:r>
            <w:r>
              <w:rPr>
                <w:rFonts w:hint="eastAsia" w:ascii="宋体" w:hAnsi="宋体" w:eastAsia="宋体" w:cs="宋体"/>
                <w:color w:val="auto"/>
                <w:sz w:val="24"/>
                <w:szCs w:val="24"/>
                <w:highlight w:val="none"/>
                <w:lang w:val="en-US" w:eastAsia="zh-CN"/>
              </w:rPr>
              <w:t>一次以上</w:t>
            </w:r>
            <w:r>
              <w:rPr>
                <w:rFonts w:hint="eastAsia" w:ascii="宋体" w:hAnsi="宋体" w:eastAsia="宋体" w:cs="宋体"/>
                <w:color w:val="auto"/>
                <w:sz w:val="24"/>
                <w:szCs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92" w:type="dxa"/>
            <w:vMerge w:val="continue"/>
            <w:tcBorders>
              <w:top w:val="single" w:color="auto" w:sz="4" w:space="0"/>
              <w:left w:val="single" w:color="auto" w:sz="4" w:space="0"/>
              <w:bottom w:val="single" w:color="auto" w:sz="4" w:space="0"/>
              <w:right w:val="single" w:color="auto" w:sz="4" w:space="0"/>
            </w:tcBorders>
          </w:tcPr>
          <w:p>
            <w:pPr>
              <w:jc w:val="center"/>
              <w:rPr>
                <w:color w:val="auto"/>
                <w:sz w:val="28"/>
                <w:szCs w:val="28"/>
                <w:highlight w:val="none"/>
              </w:rPr>
            </w:pPr>
          </w:p>
        </w:tc>
        <w:tc>
          <w:tcPr>
            <w:tcW w:w="300" w:type="dxa"/>
            <w:tcBorders>
              <w:top w:val="single" w:color="auto" w:sz="4" w:space="0"/>
              <w:left w:val="single" w:color="auto" w:sz="4" w:space="0"/>
              <w:bottom w:val="single" w:color="auto" w:sz="4" w:space="0"/>
              <w:right w:val="single" w:color="auto" w:sz="4" w:space="0"/>
            </w:tcBorders>
          </w:tcPr>
          <w:p>
            <w:pPr>
              <w:spacing w:line="259" w:lineRule="auto"/>
              <w:jc w:val="center"/>
              <w:rPr>
                <w:color w:val="auto"/>
                <w:sz w:val="28"/>
                <w:szCs w:val="28"/>
                <w:highlight w:val="none"/>
              </w:rPr>
            </w:pPr>
          </w:p>
          <w:p>
            <w:pPr>
              <w:spacing w:before="12" w:line="220" w:lineRule="auto"/>
              <w:jc w:val="both"/>
              <w:rPr>
                <w:rFonts w:ascii="宋体" w:hAnsi="宋体" w:eastAsia="宋体" w:cs="宋体"/>
                <w:color w:val="auto"/>
                <w:sz w:val="28"/>
                <w:szCs w:val="28"/>
                <w:highlight w:val="none"/>
              </w:rPr>
            </w:pPr>
            <w:r>
              <w:rPr>
                <w:rFonts w:hint="eastAsia" w:ascii="宋体" w:hAnsi="宋体" w:cs="宋体"/>
                <w:color w:val="auto"/>
                <w:sz w:val="24"/>
                <w:szCs w:val="24"/>
                <w:highlight w:val="none"/>
              </w:rPr>
              <w:t>业绩与科研成果</w:t>
            </w:r>
          </w:p>
        </w:tc>
        <w:tc>
          <w:tcPr>
            <w:tcW w:w="9360" w:type="dxa"/>
            <w:tcBorders>
              <w:top w:val="single" w:color="auto" w:sz="4" w:space="0"/>
              <w:left w:val="single" w:color="auto" w:sz="4" w:space="0"/>
              <w:bottom w:val="single" w:color="auto" w:sz="4" w:space="0"/>
              <w:right w:val="single" w:color="auto" w:sz="4" w:space="0"/>
            </w:tcBorders>
          </w:tcPr>
          <w:p>
            <w:pPr>
              <w:spacing w:line="360" w:lineRule="exact"/>
              <w:rPr>
                <w:rFonts w:ascii="宋体" w:hAnsi="宋体" w:cs="宋体"/>
                <w:b/>
                <w:bCs/>
                <w:color w:val="auto"/>
                <w:sz w:val="24"/>
                <w:szCs w:val="24"/>
                <w:highlight w:val="none"/>
              </w:rPr>
            </w:pPr>
            <w:r>
              <w:rPr>
                <w:rFonts w:hint="eastAsia" w:ascii="宋体" w:hAnsi="宋体" w:cs="宋体"/>
                <w:b/>
                <w:bCs/>
                <w:color w:val="auto"/>
                <w:sz w:val="24"/>
                <w:szCs w:val="24"/>
                <w:highlight w:val="none"/>
              </w:rPr>
              <w:t>任现职以来，工作业绩必须同时具备下列条件中的2条，其中①为必须条件。</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①在国内核心期刊上发表学术论文4篇以上；或至少2篇学术论文被国外权威期刊收录。</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②理工科类：主持单项横向课题到账经费120万元以上，或主持横向课题累计到账经费240万元以上，或主持单项横向课题经费到账75万元以上且获国家授权发明专利1项以上，或科研成果转化后形成的产值、利润和经济效益突出，达200万以上。</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人文社科类：主持单项横向课题到账经费75万元以上，或累计到账经费150万元以上，或政策咨询报告被厅级以上政府采纳或得到厅级以上主要领导肯定批示，或在艺术创作与推广方面产生公认的社会影响力。</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③获国家级二等奖以上奖励（限前5名）或获省部级一等奖（限前3名）1项。</w:t>
            </w:r>
          </w:p>
        </w:tc>
      </w:tr>
    </w:tbl>
    <w:p>
      <w:pPr>
        <w:rPr>
          <w:color w:val="auto"/>
          <w:sz w:val="28"/>
          <w:szCs w:val="28"/>
          <w:highlight w:val="none"/>
        </w:rPr>
      </w:pPr>
    </w:p>
    <w:p>
      <w:pPr>
        <w:rPr>
          <w:color w:val="auto"/>
          <w:sz w:val="28"/>
          <w:szCs w:val="28"/>
          <w:highlight w:val="none"/>
        </w:rPr>
      </w:pPr>
    </w:p>
    <w:p>
      <w:pPr>
        <w:rPr>
          <w:color w:val="auto"/>
          <w:sz w:val="28"/>
          <w:szCs w:val="28"/>
          <w:highlight w:val="none"/>
        </w:rPr>
      </w:pPr>
    </w:p>
    <w:p>
      <w:pPr>
        <w:spacing w:line="254" w:lineRule="auto"/>
        <w:jc w:val="center"/>
        <w:rPr>
          <w:color w:val="auto"/>
          <w:sz w:val="28"/>
          <w:szCs w:val="28"/>
          <w:highlight w:val="none"/>
        </w:rPr>
        <w:sectPr>
          <w:footerReference r:id="rId5" w:type="default"/>
          <w:pgSz w:w="11920" w:h="16840"/>
          <w:pgMar w:top="400" w:right="1500" w:bottom="400" w:left="1580" w:header="0" w:footer="340" w:gutter="0"/>
          <w:pgNumType w:fmt="decimal"/>
          <w:cols w:space="720" w:num="1"/>
        </w:sectPr>
      </w:pPr>
    </w:p>
    <w:tbl>
      <w:tblPr>
        <w:tblStyle w:val="10"/>
        <w:tblpPr w:leftFromText="180" w:rightFromText="180" w:vertAnchor="text" w:horzAnchor="page" w:tblpX="1141" w:tblpY="19"/>
        <w:tblOverlap w:val="never"/>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94"/>
        <w:gridCol w:w="494"/>
        <w:gridCol w:w="86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8" w:hRule="atLeast"/>
        </w:trPr>
        <w:tc>
          <w:tcPr>
            <w:tcW w:w="794" w:type="dxa"/>
            <w:vMerge w:val="restart"/>
            <w:tcBorders>
              <w:top w:val="single" w:color="000000" w:sz="2" w:space="0"/>
              <w:bottom w:val="nil"/>
            </w:tcBorders>
          </w:tcPr>
          <w:p>
            <w:pPr>
              <w:spacing w:line="254" w:lineRule="auto"/>
              <w:jc w:val="center"/>
              <w:rPr>
                <w:color w:val="auto"/>
                <w:sz w:val="28"/>
                <w:szCs w:val="28"/>
                <w:highlight w:val="none"/>
              </w:rPr>
            </w:pPr>
          </w:p>
          <w:p>
            <w:pPr>
              <w:spacing w:line="254" w:lineRule="auto"/>
              <w:jc w:val="center"/>
              <w:rPr>
                <w:color w:val="auto"/>
                <w:sz w:val="28"/>
                <w:szCs w:val="28"/>
                <w:highlight w:val="none"/>
              </w:rPr>
            </w:pPr>
          </w:p>
          <w:p>
            <w:pPr>
              <w:spacing w:line="254" w:lineRule="auto"/>
              <w:jc w:val="center"/>
              <w:rPr>
                <w:color w:val="auto"/>
                <w:sz w:val="28"/>
                <w:szCs w:val="28"/>
                <w:highlight w:val="none"/>
              </w:rPr>
            </w:pPr>
          </w:p>
          <w:p>
            <w:pPr>
              <w:spacing w:line="254" w:lineRule="auto"/>
              <w:jc w:val="center"/>
              <w:rPr>
                <w:color w:val="auto"/>
                <w:sz w:val="28"/>
                <w:szCs w:val="28"/>
                <w:highlight w:val="none"/>
              </w:rPr>
            </w:pPr>
          </w:p>
          <w:p>
            <w:pPr>
              <w:spacing w:line="254" w:lineRule="auto"/>
              <w:jc w:val="center"/>
              <w:rPr>
                <w:color w:val="auto"/>
                <w:sz w:val="28"/>
                <w:szCs w:val="28"/>
                <w:highlight w:val="none"/>
              </w:rPr>
            </w:pPr>
          </w:p>
          <w:p>
            <w:pPr>
              <w:spacing w:line="254" w:lineRule="auto"/>
              <w:jc w:val="center"/>
              <w:rPr>
                <w:color w:val="auto"/>
                <w:sz w:val="28"/>
                <w:szCs w:val="28"/>
                <w:highlight w:val="none"/>
              </w:rPr>
            </w:pPr>
          </w:p>
          <w:p>
            <w:pPr>
              <w:spacing w:line="254" w:lineRule="auto"/>
              <w:jc w:val="center"/>
              <w:rPr>
                <w:color w:val="auto"/>
                <w:sz w:val="28"/>
                <w:szCs w:val="28"/>
                <w:highlight w:val="none"/>
              </w:rPr>
            </w:pPr>
          </w:p>
          <w:p>
            <w:pPr>
              <w:spacing w:line="254" w:lineRule="auto"/>
              <w:jc w:val="center"/>
              <w:rPr>
                <w:color w:val="auto"/>
                <w:sz w:val="28"/>
                <w:szCs w:val="28"/>
                <w:highlight w:val="none"/>
              </w:rPr>
            </w:pPr>
          </w:p>
          <w:p>
            <w:pPr>
              <w:spacing w:line="254" w:lineRule="auto"/>
              <w:jc w:val="center"/>
              <w:rPr>
                <w:color w:val="auto"/>
                <w:sz w:val="28"/>
                <w:szCs w:val="28"/>
                <w:highlight w:val="none"/>
              </w:rPr>
            </w:pPr>
          </w:p>
          <w:p>
            <w:pPr>
              <w:spacing w:line="254" w:lineRule="auto"/>
              <w:jc w:val="center"/>
              <w:rPr>
                <w:color w:val="auto"/>
                <w:sz w:val="28"/>
                <w:szCs w:val="28"/>
                <w:highlight w:val="none"/>
              </w:rPr>
            </w:pPr>
          </w:p>
          <w:p>
            <w:pPr>
              <w:spacing w:line="254" w:lineRule="auto"/>
              <w:jc w:val="center"/>
              <w:rPr>
                <w:color w:val="auto"/>
                <w:sz w:val="28"/>
                <w:szCs w:val="28"/>
                <w:highlight w:val="none"/>
              </w:rPr>
            </w:pPr>
          </w:p>
          <w:p>
            <w:pPr>
              <w:spacing w:before="78" w:line="219" w:lineRule="auto"/>
              <w:jc w:val="center"/>
              <w:rPr>
                <w:rFonts w:ascii="宋体" w:hAnsi="宋体" w:eastAsia="宋体" w:cs="宋体"/>
                <w:color w:val="auto"/>
                <w:sz w:val="28"/>
                <w:szCs w:val="28"/>
                <w:highlight w:val="none"/>
              </w:rPr>
            </w:pPr>
            <w:r>
              <w:rPr>
                <w:rFonts w:ascii="宋体" w:hAnsi="宋体" w:eastAsia="宋体" w:cs="宋体"/>
                <w:b/>
                <w:bCs/>
                <w:color w:val="auto"/>
                <w:spacing w:val="6"/>
                <w:sz w:val="28"/>
                <w:szCs w:val="28"/>
                <w:highlight w:val="none"/>
              </w:rPr>
              <w:t>讲师</w:t>
            </w:r>
          </w:p>
        </w:tc>
        <w:tc>
          <w:tcPr>
            <w:tcW w:w="494" w:type="dxa"/>
            <w:tcBorders>
              <w:top w:val="single" w:color="000000" w:sz="2" w:space="0"/>
              <w:bottom w:val="single" w:color="000000" w:sz="2" w:space="0"/>
            </w:tcBorders>
          </w:tcPr>
          <w:p>
            <w:pPr>
              <w:spacing w:line="263" w:lineRule="auto"/>
              <w:jc w:val="center"/>
              <w:rPr>
                <w:color w:val="auto"/>
                <w:sz w:val="28"/>
                <w:szCs w:val="28"/>
                <w:highlight w:val="none"/>
              </w:rPr>
            </w:pPr>
          </w:p>
          <w:p>
            <w:pPr>
              <w:spacing w:line="263" w:lineRule="auto"/>
              <w:jc w:val="center"/>
              <w:rPr>
                <w:color w:val="auto"/>
                <w:sz w:val="28"/>
                <w:szCs w:val="28"/>
                <w:highlight w:val="none"/>
              </w:rPr>
            </w:pPr>
          </w:p>
          <w:p>
            <w:pPr>
              <w:spacing w:line="264" w:lineRule="auto"/>
              <w:jc w:val="center"/>
              <w:rPr>
                <w:color w:val="auto"/>
                <w:sz w:val="28"/>
                <w:szCs w:val="28"/>
                <w:highlight w:val="none"/>
              </w:rPr>
            </w:pPr>
          </w:p>
          <w:p>
            <w:pPr>
              <w:spacing w:before="78" w:line="255" w:lineRule="auto"/>
              <w:ind w:right="134"/>
              <w:jc w:val="center"/>
              <w:rPr>
                <w:rFonts w:ascii="宋体" w:hAnsi="宋体" w:cs="宋体"/>
                <w:color w:val="auto"/>
                <w:sz w:val="24"/>
                <w:szCs w:val="24"/>
                <w:highlight w:val="none"/>
              </w:rPr>
            </w:pPr>
            <w:r>
              <w:rPr>
                <w:rFonts w:hint="eastAsia" w:ascii="宋体" w:hAnsi="宋体" w:cs="宋体"/>
                <w:color w:val="auto"/>
                <w:sz w:val="24"/>
                <w:szCs w:val="24"/>
                <w:highlight w:val="none"/>
              </w:rPr>
              <w:t>专</w:t>
            </w:r>
          </w:p>
          <w:p>
            <w:pPr>
              <w:spacing w:before="78" w:line="255" w:lineRule="auto"/>
              <w:ind w:right="134"/>
              <w:jc w:val="center"/>
              <w:rPr>
                <w:rFonts w:ascii="宋体" w:hAnsi="宋体" w:cs="宋体"/>
                <w:color w:val="auto"/>
                <w:sz w:val="24"/>
                <w:szCs w:val="24"/>
                <w:highlight w:val="none"/>
              </w:rPr>
            </w:pPr>
            <w:r>
              <w:rPr>
                <w:rFonts w:hint="eastAsia" w:ascii="宋体" w:hAnsi="宋体" w:cs="宋体"/>
                <w:color w:val="auto"/>
                <w:sz w:val="24"/>
                <w:szCs w:val="24"/>
                <w:highlight w:val="none"/>
              </w:rPr>
              <w:t>业</w:t>
            </w:r>
          </w:p>
          <w:p>
            <w:pPr>
              <w:spacing w:before="78" w:line="255" w:lineRule="auto"/>
              <w:ind w:right="134"/>
              <w:jc w:val="center"/>
              <w:rPr>
                <w:rFonts w:ascii="宋体" w:hAnsi="宋体" w:cs="宋体"/>
                <w:color w:val="auto"/>
                <w:sz w:val="24"/>
                <w:szCs w:val="24"/>
                <w:highlight w:val="none"/>
              </w:rPr>
            </w:pPr>
            <w:r>
              <w:rPr>
                <w:rFonts w:hint="eastAsia" w:ascii="宋体" w:hAnsi="宋体" w:cs="宋体"/>
                <w:color w:val="auto"/>
                <w:sz w:val="24"/>
                <w:szCs w:val="24"/>
                <w:highlight w:val="none"/>
              </w:rPr>
              <w:t>工</w:t>
            </w:r>
          </w:p>
          <w:p>
            <w:pPr>
              <w:spacing w:before="78" w:line="255" w:lineRule="auto"/>
              <w:ind w:right="134"/>
              <w:jc w:val="center"/>
              <w:rPr>
                <w:rFonts w:ascii="宋体" w:hAnsi="宋体" w:cs="宋体"/>
                <w:color w:val="auto"/>
                <w:sz w:val="24"/>
                <w:szCs w:val="24"/>
                <w:highlight w:val="none"/>
              </w:rPr>
            </w:pPr>
            <w:r>
              <w:rPr>
                <w:rFonts w:hint="eastAsia" w:ascii="宋体" w:hAnsi="宋体" w:cs="宋体"/>
                <w:color w:val="auto"/>
                <w:sz w:val="24"/>
                <w:szCs w:val="24"/>
                <w:highlight w:val="none"/>
              </w:rPr>
              <w:t>作</w:t>
            </w:r>
          </w:p>
          <w:p>
            <w:pPr>
              <w:spacing w:before="78" w:line="255" w:lineRule="auto"/>
              <w:ind w:right="134"/>
              <w:jc w:val="center"/>
              <w:rPr>
                <w:rFonts w:ascii="宋体" w:hAnsi="宋体" w:cs="宋体"/>
                <w:color w:val="auto"/>
                <w:sz w:val="24"/>
                <w:szCs w:val="24"/>
                <w:highlight w:val="none"/>
              </w:rPr>
            </w:pPr>
            <w:r>
              <w:rPr>
                <w:rFonts w:hint="eastAsia" w:ascii="宋体" w:hAnsi="宋体" w:cs="宋体"/>
                <w:color w:val="auto"/>
                <w:sz w:val="24"/>
                <w:szCs w:val="24"/>
                <w:highlight w:val="none"/>
              </w:rPr>
              <w:t>能</w:t>
            </w:r>
          </w:p>
          <w:p>
            <w:pPr>
              <w:spacing w:before="78" w:line="255" w:lineRule="auto"/>
              <w:ind w:right="134"/>
              <w:jc w:val="center"/>
              <w:rPr>
                <w:rFonts w:ascii="宋体" w:hAnsi="宋体" w:eastAsia="宋体" w:cs="宋体"/>
                <w:color w:val="auto"/>
                <w:sz w:val="28"/>
                <w:szCs w:val="28"/>
                <w:highlight w:val="none"/>
              </w:rPr>
            </w:pPr>
            <w:r>
              <w:rPr>
                <w:rFonts w:hint="eastAsia" w:ascii="宋体" w:hAnsi="宋体" w:cs="宋体"/>
                <w:color w:val="auto"/>
                <w:sz w:val="24"/>
                <w:szCs w:val="24"/>
                <w:highlight w:val="none"/>
              </w:rPr>
              <w:t>力</w:t>
            </w:r>
          </w:p>
        </w:tc>
        <w:tc>
          <w:tcPr>
            <w:tcW w:w="8601" w:type="dxa"/>
            <w:tcBorders>
              <w:top w:val="single" w:color="000000" w:sz="2" w:space="0"/>
              <w:bottom w:val="single" w:color="000000" w:sz="2" w:space="0"/>
            </w:tcBorders>
          </w:tcPr>
          <w:p>
            <w:pPr>
              <w:spacing w:line="360" w:lineRule="exact"/>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任现职以来，专业工作能力应具备下列条件：</w:t>
            </w:r>
          </w:p>
          <w:p>
            <w:pPr>
              <w:spacing w:line="360" w:lineRule="exact"/>
              <w:rPr>
                <w:rFonts w:ascii="宋体" w:hAnsi="宋体" w:cs="宋体"/>
                <w:color w:val="auto"/>
                <w:highlight w:val="none"/>
              </w:rPr>
            </w:pPr>
            <w:r>
              <w:rPr>
                <w:rFonts w:hint="eastAsia" w:ascii="宋体" w:hAnsi="宋体" w:cs="宋体"/>
                <w:color w:val="auto"/>
                <w:sz w:val="24"/>
                <w:szCs w:val="24"/>
                <w:highlight w:val="none"/>
              </w:rPr>
              <w:t>（</w:t>
            </w:r>
            <w:r>
              <w:rPr>
                <w:rFonts w:hint="eastAsia" w:ascii="宋体" w:hAnsi="宋体" w:cs="宋体"/>
                <w:color w:val="auto"/>
                <w:highlight w:val="none"/>
              </w:rPr>
              <w:t>1</w:t>
            </w:r>
            <w:r>
              <w:rPr>
                <w:rFonts w:hint="eastAsia" w:ascii="宋体" w:hAnsi="宋体" w:cs="宋体"/>
                <w:color w:val="auto"/>
                <w:sz w:val="24"/>
                <w:szCs w:val="24"/>
                <w:highlight w:val="none"/>
              </w:rPr>
              <w:t>）具有扎实的本专业知识和较完备的教育理论基础，了解本学科国内外发展动态。具有从事教育教学、科学研究工作的能力。</w:t>
            </w:r>
          </w:p>
          <w:p>
            <w:pPr>
              <w:spacing w:line="360" w:lineRule="exact"/>
              <w:rPr>
                <w:rFonts w:ascii="宋体" w:hAnsi="宋体" w:cs="宋体"/>
                <w:color w:val="auto"/>
                <w:highlight w:val="none"/>
              </w:rPr>
            </w:pPr>
            <w:r>
              <w:rPr>
                <w:rFonts w:hint="eastAsia" w:ascii="宋体" w:hAnsi="宋体" w:cs="宋体"/>
                <w:color w:val="auto"/>
                <w:sz w:val="24"/>
                <w:szCs w:val="24"/>
                <w:highlight w:val="none"/>
              </w:rPr>
              <w:t>（</w:t>
            </w:r>
            <w:r>
              <w:rPr>
                <w:rFonts w:hint="eastAsia" w:ascii="宋体" w:hAnsi="宋体" w:cs="宋体"/>
                <w:color w:val="auto"/>
                <w:highlight w:val="none"/>
              </w:rPr>
              <w:t>2</w:t>
            </w:r>
            <w:r>
              <w:rPr>
                <w:rFonts w:hint="eastAsia" w:ascii="宋体" w:hAnsi="宋体" w:cs="宋体"/>
                <w:color w:val="auto"/>
                <w:sz w:val="24"/>
                <w:szCs w:val="24"/>
                <w:highlight w:val="none"/>
              </w:rPr>
              <w:t>）公共课和基础课教师，独立讲授</w:t>
            </w:r>
            <w:r>
              <w:rPr>
                <w:rFonts w:hint="eastAsia" w:ascii="宋体" w:hAnsi="宋体" w:cs="宋体"/>
                <w:color w:val="auto"/>
                <w:highlight w:val="none"/>
              </w:rPr>
              <w:t>1</w:t>
            </w:r>
            <w:r>
              <w:rPr>
                <w:rFonts w:hint="eastAsia" w:ascii="宋体" w:hAnsi="宋体" w:cs="宋体"/>
                <w:color w:val="auto"/>
                <w:sz w:val="24"/>
                <w:szCs w:val="24"/>
                <w:highlight w:val="none"/>
              </w:rPr>
              <w:t>门以上课程；专业课和实践课教师，独立承担</w:t>
            </w:r>
            <w:r>
              <w:rPr>
                <w:rFonts w:hint="eastAsia" w:ascii="宋体" w:hAnsi="宋体" w:cs="宋体"/>
                <w:color w:val="auto"/>
                <w:highlight w:val="none"/>
              </w:rPr>
              <w:t>1</w:t>
            </w:r>
            <w:r>
              <w:rPr>
                <w:rFonts w:hint="eastAsia" w:ascii="宋体" w:hAnsi="宋体" w:cs="宋体"/>
                <w:color w:val="auto"/>
                <w:sz w:val="24"/>
                <w:szCs w:val="24"/>
                <w:highlight w:val="none"/>
              </w:rPr>
              <w:t>门以上专业课程或实践课程部分或全部内容的教学工作，完成学校规定的教学工作任务。教学基本功扎实，教学态度端正，教学效果良好。</w:t>
            </w:r>
          </w:p>
          <w:p>
            <w:pPr>
              <w:spacing w:line="360" w:lineRule="exact"/>
              <w:rPr>
                <w:rFonts w:ascii="宋体" w:hAnsi="宋体" w:cs="宋体"/>
                <w:color w:val="auto"/>
                <w:highlight w:val="none"/>
              </w:rPr>
            </w:pPr>
            <w:r>
              <w:rPr>
                <w:rFonts w:hint="eastAsia" w:ascii="宋体" w:hAnsi="宋体" w:cs="宋体"/>
                <w:color w:val="auto"/>
                <w:sz w:val="24"/>
                <w:szCs w:val="24"/>
                <w:highlight w:val="none"/>
              </w:rPr>
              <w:t>（</w:t>
            </w:r>
            <w:r>
              <w:rPr>
                <w:rFonts w:hint="eastAsia" w:ascii="宋体" w:hAnsi="宋体" w:cs="宋体"/>
                <w:color w:val="auto"/>
                <w:highlight w:val="none"/>
              </w:rPr>
              <w:t>3</w:t>
            </w:r>
            <w:r>
              <w:rPr>
                <w:rFonts w:hint="eastAsia" w:ascii="宋体" w:hAnsi="宋体" w:cs="宋体"/>
                <w:color w:val="auto"/>
                <w:sz w:val="24"/>
                <w:szCs w:val="24"/>
                <w:highlight w:val="none"/>
              </w:rPr>
              <w:t>）年均教学工作量不少于</w:t>
            </w:r>
            <w:r>
              <w:rPr>
                <w:rFonts w:hint="eastAsia" w:ascii="宋体" w:hAnsi="宋体" w:eastAsia="宋体" w:cs="宋体"/>
                <w:color w:val="auto"/>
                <w:highlight w:val="none"/>
              </w:rPr>
              <w:t>320</w:t>
            </w:r>
            <w:r>
              <w:rPr>
                <w:rFonts w:hint="eastAsia" w:ascii="宋体" w:hAnsi="宋体" w:eastAsia="宋体" w:cs="宋体"/>
                <w:color w:val="auto"/>
                <w:sz w:val="24"/>
                <w:szCs w:val="24"/>
                <w:highlight w:val="none"/>
              </w:rPr>
              <w:t>标时</w:t>
            </w:r>
            <w:r>
              <w:rPr>
                <w:rFonts w:hint="eastAsia" w:ascii="宋体" w:hAnsi="宋体" w:cs="宋体"/>
                <w:color w:val="auto"/>
                <w:sz w:val="24"/>
                <w:szCs w:val="24"/>
                <w:highlight w:val="none"/>
              </w:rPr>
              <w:t>（其中课堂教学工作量不少于</w:t>
            </w:r>
            <w:r>
              <w:rPr>
                <w:rFonts w:hint="eastAsia" w:ascii="宋体" w:hAnsi="宋体" w:eastAsia="宋体" w:cs="宋体"/>
                <w:color w:val="auto"/>
                <w:highlight w:val="none"/>
              </w:rPr>
              <w:t>160</w:t>
            </w:r>
            <w:r>
              <w:rPr>
                <w:rFonts w:hint="eastAsia" w:ascii="宋体" w:hAnsi="宋体" w:eastAsia="宋体" w:cs="宋体"/>
                <w:color w:val="auto"/>
                <w:sz w:val="24"/>
                <w:szCs w:val="24"/>
                <w:highlight w:val="none"/>
              </w:rPr>
              <w:t>标时</w:t>
            </w:r>
            <w:r>
              <w:rPr>
                <w:rFonts w:hint="eastAsia" w:ascii="宋体" w:hAnsi="宋体" w:cs="宋体"/>
                <w:color w:val="auto"/>
                <w:sz w:val="24"/>
                <w:szCs w:val="24"/>
                <w:highlight w:val="none"/>
              </w:rPr>
              <w:t>），任现职以来教学质量考核均为合格以上。将思想政治教育较好融入教学，在学生培养工作中做出积极贡献。</w:t>
            </w:r>
          </w:p>
          <w:p>
            <w:pPr>
              <w:spacing w:line="360" w:lineRule="exact"/>
              <w:rPr>
                <w:rFonts w:ascii="宋体" w:hAnsi="宋体" w:cs="宋体"/>
                <w:color w:val="auto"/>
                <w:highlight w:val="none"/>
              </w:rPr>
            </w:pPr>
            <w:r>
              <w:rPr>
                <w:rFonts w:hint="eastAsia" w:ascii="宋体" w:hAnsi="宋体" w:cs="宋体"/>
                <w:color w:val="auto"/>
                <w:sz w:val="24"/>
                <w:szCs w:val="24"/>
                <w:highlight w:val="none"/>
              </w:rPr>
              <w:t>（</w:t>
            </w:r>
            <w:r>
              <w:rPr>
                <w:rFonts w:hint="eastAsia" w:ascii="宋体" w:hAnsi="宋体" w:cs="宋体"/>
                <w:color w:val="auto"/>
                <w:highlight w:val="none"/>
              </w:rPr>
              <w:t>4</w:t>
            </w:r>
            <w:r>
              <w:rPr>
                <w:rFonts w:hint="eastAsia" w:ascii="宋体" w:hAnsi="宋体" w:cs="宋体"/>
                <w:color w:val="auto"/>
                <w:sz w:val="24"/>
                <w:szCs w:val="24"/>
                <w:highlight w:val="none"/>
              </w:rPr>
              <w:t>）全过程地承担过</w:t>
            </w:r>
            <w:r>
              <w:rPr>
                <w:rFonts w:hint="eastAsia" w:ascii="宋体" w:hAnsi="宋体" w:cs="宋体"/>
                <w:color w:val="auto"/>
                <w:highlight w:val="none"/>
              </w:rPr>
              <w:t>1</w:t>
            </w:r>
            <w:r>
              <w:rPr>
                <w:rFonts w:hint="eastAsia" w:ascii="宋体" w:hAnsi="宋体" w:cs="宋体"/>
                <w:color w:val="auto"/>
                <w:sz w:val="24"/>
                <w:szCs w:val="24"/>
                <w:highlight w:val="none"/>
              </w:rPr>
              <w:t>门课程的专职辅导、答疑、批改作业、实验、实习、组织课堂讨论等各教学环节工作，协助指导毕业论文、毕业设计。</w:t>
            </w:r>
          </w:p>
          <w:p>
            <w:pPr>
              <w:spacing w:before="101" w:line="230" w:lineRule="auto"/>
              <w:ind w:right="121"/>
              <w:rPr>
                <w:rFonts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highlight w:val="none"/>
              </w:rPr>
              <w:t>5</w:t>
            </w:r>
            <w:r>
              <w:rPr>
                <w:rFonts w:hint="eastAsia" w:ascii="宋体" w:hAnsi="宋体" w:cs="宋体"/>
                <w:color w:val="auto"/>
                <w:sz w:val="24"/>
                <w:szCs w:val="24"/>
                <w:highlight w:val="none"/>
              </w:rPr>
              <w:t>）</w:t>
            </w:r>
            <w:r>
              <w:rPr>
                <w:rFonts w:hint="eastAsia" w:ascii="宋体" w:hAnsi="宋体" w:eastAsia="宋体" w:cs="宋体"/>
                <w:color w:val="auto"/>
                <w:sz w:val="24"/>
                <w:szCs w:val="24"/>
                <w:highlight w:val="none"/>
              </w:rPr>
              <w:t>积极参与学院、系学科专业建设、人才培养方案制定、专业评估、产业学院建设、实验室建设等各项院系公共工作。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74" w:hRule="atLeast"/>
        </w:trPr>
        <w:tc>
          <w:tcPr>
            <w:tcW w:w="794" w:type="dxa"/>
            <w:vMerge w:val="continue"/>
            <w:tcBorders>
              <w:top w:val="nil"/>
              <w:bottom w:val="single" w:color="auto" w:sz="4" w:space="0"/>
            </w:tcBorders>
          </w:tcPr>
          <w:p>
            <w:pPr>
              <w:jc w:val="center"/>
              <w:rPr>
                <w:color w:val="auto"/>
                <w:sz w:val="28"/>
                <w:szCs w:val="28"/>
                <w:highlight w:val="none"/>
              </w:rPr>
            </w:pPr>
          </w:p>
        </w:tc>
        <w:tc>
          <w:tcPr>
            <w:tcW w:w="494" w:type="dxa"/>
            <w:tcBorders>
              <w:top w:val="single" w:color="000000" w:sz="2" w:space="0"/>
              <w:bottom w:val="single" w:color="auto" w:sz="4" w:space="0"/>
            </w:tcBorders>
          </w:tcPr>
          <w:p>
            <w:pPr>
              <w:spacing w:line="297" w:lineRule="auto"/>
              <w:jc w:val="center"/>
              <w:rPr>
                <w:color w:val="auto"/>
                <w:sz w:val="28"/>
                <w:szCs w:val="28"/>
                <w:highlight w:val="none"/>
              </w:rPr>
            </w:pPr>
          </w:p>
          <w:p>
            <w:pPr>
              <w:spacing w:before="12" w:line="220" w:lineRule="auto"/>
              <w:jc w:val="center"/>
              <w:rPr>
                <w:rFonts w:ascii="宋体" w:hAnsi="宋体" w:cs="宋体"/>
                <w:color w:val="auto"/>
                <w:sz w:val="24"/>
                <w:szCs w:val="24"/>
                <w:highlight w:val="none"/>
              </w:rPr>
            </w:pPr>
          </w:p>
          <w:p>
            <w:pPr>
              <w:spacing w:before="12" w:line="220" w:lineRule="auto"/>
              <w:jc w:val="center"/>
              <w:rPr>
                <w:rFonts w:ascii="宋体" w:hAnsi="宋体" w:cs="宋体"/>
                <w:color w:val="auto"/>
                <w:sz w:val="24"/>
                <w:szCs w:val="24"/>
                <w:highlight w:val="none"/>
              </w:rPr>
            </w:pPr>
          </w:p>
          <w:p>
            <w:pPr>
              <w:spacing w:before="12" w:line="220" w:lineRule="auto"/>
              <w:jc w:val="center"/>
              <w:rPr>
                <w:rFonts w:ascii="宋体" w:hAnsi="宋体" w:cs="宋体"/>
                <w:color w:val="auto"/>
                <w:sz w:val="24"/>
                <w:szCs w:val="24"/>
                <w:highlight w:val="none"/>
              </w:rPr>
            </w:pPr>
          </w:p>
          <w:p>
            <w:pPr>
              <w:spacing w:before="12" w:line="22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工</w:t>
            </w:r>
          </w:p>
          <w:p>
            <w:pPr>
              <w:spacing w:before="12" w:line="22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作</w:t>
            </w:r>
          </w:p>
          <w:p>
            <w:pPr>
              <w:spacing w:before="12" w:line="22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业</w:t>
            </w:r>
          </w:p>
          <w:p>
            <w:pPr>
              <w:spacing w:before="12" w:line="220" w:lineRule="auto"/>
              <w:jc w:val="center"/>
              <w:rPr>
                <w:rFonts w:ascii="宋体" w:hAnsi="宋体" w:eastAsia="宋体" w:cs="宋体"/>
                <w:color w:val="auto"/>
                <w:sz w:val="28"/>
                <w:szCs w:val="28"/>
                <w:highlight w:val="none"/>
              </w:rPr>
            </w:pPr>
            <w:r>
              <w:rPr>
                <w:rFonts w:hint="eastAsia" w:ascii="宋体" w:hAnsi="宋体" w:cs="宋体"/>
                <w:color w:val="auto"/>
                <w:sz w:val="24"/>
                <w:szCs w:val="24"/>
                <w:highlight w:val="none"/>
              </w:rPr>
              <w:t>绩</w:t>
            </w:r>
          </w:p>
        </w:tc>
        <w:tc>
          <w:tcPr>
            <w:tcW w:w="8601" w:type="dxa"/>
            <w:tcBorders>
              <w:top w:val="single" w:color="000000" w:sz="2" w:space="0"/>
              <w:bottom w:val="single" w:color="auto" w:sz="4" w:space="0"/>
            </w:tcBorders>
          </w:tcPr>
          <w:p>
            <w:pPr>
              <w:spacing w:line="360" w:lineRule="exact"/>
              <w:rPr>
                <w:rFonts w:ascii="宋体" w:hAnsi="宋体" w:cs="宋体"/>
                <w:b/>
                <w:bCs/>
                <w:color w:val="auto"/>
                <w:highlight w:val="none"/>
              </w:rPr>
            </w:pPr>
            <w:r>
              <w:rPr>
                <w:rFonts w:hint="eastAsia" w:ascii="宋体" w:hAnsi="宋体" w:cs="宋体"/>
                <w:b/>
                <w:bCs/>
                <w:color w:val="auto"/>
                <w:sz w:val="24"/>
                <w:szCs w:val="24"/>
                <w:highlight w:val="none"/>
              </w:rPr>
              <w:t>任现职以来，工作业绩应具备下列条件中的</w:t>
            </w:r>
            <w:r>
              <w:rPr>
                <w:rFonts w:hint="eastAsia" w:ascii="宋体" w:hAnsi="宋体" w:cs="宋体"/>
                <w:b/>
                <w:bCs/>
                <w:color w:val="auto"/>
                <w:highlight w:val="none"/>
              </w:rPr>
              <w:t>2</w:t>
            </w:r>
            <w:r>
              <w:rPr>
                <w:rFonts w:hint="eastAsia" w:ascii="宋体" w:hAnsi="宋体" w:cs="宋体"/>
                <w:b/>
                <w:bCs/>
                <w:color w:val="auto"/>
                <w:sz w:val="24"/>
                <w:szCs w:val="24"/>
                <w:highlight w:val="none"/>
              </w:rPr>
              <w:t>条，其中第</w:t>
            </w:r>
            <w:r>
              <w:rPr>
                <w:rFonts w:hint="eastAsia" w:ascii="宋体" w:hAnsi="宋体" w:cs="宋体"/>
                <w:b/>
                <w:bCs/>
                <w:color w:val="auto"/>
                <w:highlight w:val="none"/>
              </w:rPr>
              <w:t>1</w:t>
            </w:r>
            <w:r>
              <w:rPr>
                <w:rFonts w:hint="eastAsia" w:ascii="宋体" w:hAnsi="宋体" w:cs="宋体"/>
                <w:b/>
                <w:bCs/>
                <w:color w:val="auto"/>
                <w:sz w:val="24"/>
                <w:szCs w:val="24"/>
                <w:highlight w:val="none"/>
              </w:rPr>
              <w:t>条为必备条件：</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highlight w:val="none"/>
              </w:rPr>
              <w:t>1</w:t>
            </w:r>
            <w:r>
              <w:rPr>
                <w:rFonts w:hint="eastAsia" w:ascii="宋体" w:hAnsi="宋体" w:cs="宋体"/>
                <w:color w:val="auto"/>
                <w:sz w:val="24"/>
                <w:szCs w:val="24"/>
                <w:highlight w:val="none"/>
              </w:rPr>
              <w:t>）发表学术论文</w:t>
            </w:r>
            <w:r>
              <w:rPr>
                <w:rFonts w:hint="eastAsia" w:ascii="宋体" w:hAnsi="宋体" w:cs="宋体"/>
                <w:color w:val="auto"/>
                <w:highlight w:val="none"/>
              </w:rPr>
              <w:t>2</w:t>
            </w:r>
            <w:r>
              <w:rPr>
                <w:rFonts w:hint="eastAsia" w:ascii="宋体" w:hAnsi="宋体" w:cs="宋体"/>
                <w:color w:val="auto"/>
                <w:sz w:val="24"/>
                <w:szCs w:val="24"/>
                <w:highlight w:val="none"/>
              </w:rPr>
              <w:t>篇以上；或发表学术论文</w:t>
            </w:r>
            <w:r>
              <w:rPr>
                <w:rFonts w:hint="eastAsia" w:ascii="宋体" w:hAnsi="宋体" w:cs="宋体"/>
                <w:color w:val="auto"/>
                <w:highlight w:val="none"/>
              </w:rPr>
              <w:t>1</w:t>
            </w:r>
            <w:r>
              <w:rPr>
                <w:rFonts w:hint="eastAsia" w:ascii="宋体" w:hAnsi="宋体" w:cs="宋体"/>
                <w:color w:val="auto"/>
                <w:sz w:val="24"/>
                <w:szCs w:val="24"/>
                <w:highlight w:val="none"/>
              </w:rPr>
              <w:t>篇以上，且参与撰写学术著作或参编省级以上统编、规划教材（本人撰写</w:t>
            </w:r>
            <w:r>
              <w:rPr>
                <w:rFonts w:hint="eastAsia" w:ascii="宋体" w:hAnsi="宋体" w:cs="宋体"/>
                <w:color w:val="auto"/>
                <w:highlight w:val="none"/>
              </w:rPr>
              <w:t>1</w:t>
            </w:r>
            <w:r>
              <w:rPr>
                <w:rFonts w:hint="eastAsia" w:ascii="宋体" w:hAnsi="宋体" w:cs="宋体"/>
                <w:color w:val="auto"/>
                <w:sz w:val="24"/>
                <w:szCs w:val="24"/>
                <w:highlight w:val="none"/>
              </w:rPr>
              <w:t>万字以上）。</w:t>
            </w:r>
          </w:p>
          <w:p>
            <w:pPr>
              <w:spacing w:line="360" w:lineRule="exact"/>
              <w:rPr>
                <w:rFonts w:ascii="宋体" w:hAnsi="宋体" w:cs="宋体"/>
                <w:color w:val="auto"/>
                <w:highlight w:val="none"/>
              </w:rPr>
            </w:pPr>
            <w:r>
              <w:rPr>
                <w:rFonts w:hint="eastAsia" w:ascii="宋体" w:hAnsi="宋体" w:cs="宋体"/>
                <w:color w:val="auto"/>
                <w:sz w:val="24"/>
                <w:szCs w:val="24"/>
                <w:highlight w:val="none"/>
              </w:rPr>
              <w:t>（</w:t>
            </w:r>
            <w:r>
              <w:rPr>
                <w:rFonts w:hint="eastAsia" w:ascii="宋体" w:hAnsi="宋体" w:cs="宋体"/>
                <w:color w:val="auto"/>
                <w:highlight w:val="none"/>
              </w:rPr>
              <w:t>2</w:t>
            </w:r>
            <w:r>
              <w:rPr>
                <w:rFonts w:hint="eastAsia" w:ascii="宋体" w:hAnsi="宋体" w:cs="宋体"/>
                <w:color w:val="auto"/>
                <w:sz w:val="24"/>
                <w:szCs w:val="24"/>
                <w:highlight w:val="none"/>
              </w:rPr>
              <w:t>）获厅（局）级以上奖或校级教学成果奖。</w:t>
            </w:r>
          </w:p>
          <w:p>
            <w:pPr>
              <w:spacing w:line="360" w:lineRule="exact"/>
              <w:rPr>
                <w:rFonts w:ascii="宋体" w:hAnsi="宋体" w:cs="宋体"/>
                <w:color w:val="auto"/>
                <w:highlight w:val="none"/>
              </w:rPr>
            </w:pPr>
            <w:r>
              <w:rPr>
                <w:rFonts w:hint="eastAsia" w:ascii="宋体" w:hAnsi="宋体" w:cs="宋体"/>
                <w:color w:val="auto"/>
                <w:sz w:val="24"/>
                <w:szCs w:val="24"/>
                <w:highlight w:val="none"/>
              </w:rPr>
              <w:t>（</w:t>
            </w:r>
            <w:r>
              <w:rPr>
                <w:rFonts w:hint="eastAsia" w:ascii="宋体" w:hAnsi="宋体" w:cs="宋体"/>
                <w:color w:val="auto"/>
                <w:highlight w:val="none"/>
              </w:rPr>
              <w:t>3</w:t>
            </w:r>
            <w:r>
              <w:rPr>
                <w:rFonts w:hint="eastAsia" w:ascii="宋体" w:hAnsi="宋体" w:cs="宋体"/>
                <w:color w:val="auto"/>
                <w:sz w:val="24"/>
                <w:szCs w:val="24"/>
                <w:highlight w:val="none"/>
              </w:rPr>
              <w:t>）参与校级以上科研项目。</w:t>
            </w:r>
          </w:p>
          <w:p>
            <w:pPr>
              <w:spacing w:line="360" w:lineRule="exact"/>
              <w:rPr>
                <w:rFonts w:ascii="宋体" w:hAnsi="宋体" w:eastAsia="宋体" w:cs="宋体"/>
                <w:color w:val="auto"/>
                <w:highlight w:val="none"/>
              </w:rPr>
            </w:pPr>
            <w:r>
              <w:rPr>
                <w:rFonts w:hint="eastAsia" w:ascii="宋体" w:hAnsi="宋体" w:cs="宋体"/>
                <w:color w:val="auto"/>
                <w:sz w:val="24"/>
                <w:szCs w:val="24"/>
                <w:highlight w:val="none"/>
              </w:rPr>
              <w:t>（</w:t>
            </w:r>
            <w:r>
              <w:rPr>
                <w:rFonts w:hint="eastAsia" w:ascii="宋体" w:hAnsi="宋体" w:cs="宋体"/>
                <w:color w:val="auto"/>
                <w:highlight w:val="none"/>
              </w:rPr>
              <w:t>4</w:t>
            </w:r>
            <w:r>
              <w:rPr>
                <w:rFonts w:hint="eastAsia" w:ascii="宋体" w:hAnsi="宋体" w:cs="宋体"/>
                <w:color w:val="auto"/>
                <w:sz w:val="24"/>
                <w:szCs w:val="24"/>
                <w:highlight w:val="none"/>
              </w:rPr>
              <w:t>）参与完成省级以上教学质量工程项目</w:t>
            </w:r>
            <w:r>
              <w:rPr>
                <w:rFonts w:hint="eastAsia" w:ascii="宋体" w:hAnsi="宋体" w:eastAsia="宋体" w:cs="宋体"/>
                <w:color w:val="auto"/>
                <w:sz w:val="24"/>
                <w:szCs w:val="24"/>
                <w:highlight w:val="none"/>
              </w:rPr>
              <w:t>；或校级质量工程项目（限前三名）。</w:t>
            </w:r>
          </w:p>
          <w:p>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highlight w:val="none"/>
              </w:rPr>
              <w:t>5</w:t>
            </w:r>
            <w:r>
              <w:rPr>
                <w:rFonts w:hint="eastAsia" w:ascii="宋体" w:hAnsi="宋体" w:cs="宋体"/>
                <w:color w:val="auto"/>
                <w:sz w:val="24"/>
                <w:szCs w:val="24"/>
                <w:highlight w:val="none"/>
              </w:rPr>
              <w:t>）获得与本专业相关的国家专利</w:t>
            </w:r>
            <w:r>
              <w:rPr>
                <w:rFonts w:hint="eastAsia" w:ascii="宋体" w:hAnsi="宋体" w:cs="宋体"/>
                <w:color w:val="auto"/>
                <w:highlight w:val="none"/>
              </w:rPr>
              <w:t>1</w:t>
            </w:r>
            <w:r>
              <w:rPr>
                <w:rFonts w:hint="eastAsia" w:ascii="宋体" w:hAnsi="宋体" w:cs="宋体"/>
                <w:color w:val="auto"/>
                <w:sz w:val="24"/>
                <w:szCs w:val="24"/>
                <w:highlight w:val="none"/>
              </w:rPr>
              <w:t>项以上。</w:t>
            </w:r>
          </w:p>
          <w:p>
            <w:pPr>
              <w:spacing w:line="360" w:lineRule="exact"/>
              <w:rPr>
                <w:rFonts w:ascii="宋体" w:hAnsi="宋体" w:cs="宋体"/>
                <w:color w:val="auto"/>
                <w:highlight w:val="none"/>
              </w:rPr>
            </w:pPr>
            <w:r>
              <w:rPr>
                <w:rFonts w:hint="eastAsia" w:ascii="宋体" w:hAnsi="宋体" w:cs="宋体"/>
                <w:color w:val="auto"/>
                <w:sz w:val="24"/>
                <w:szCs w:val="24"/>
                <w:highlight w:val="none"/>
              </w:rPr>
              <w:t>（</w:t>
            </w:r>
            <w:r>
              <w:rPr>
                <w:rFonts w:hint="eastAsia" w:ascii="宋体" w:hAnsi="宋体" w:cs="宋体"/>
                <w:color w:val="auto"/>
                <w:highlight w:val="none"/>
              </w:rPr>
              <w:t>6</w:t>
            </w:r>
            <w:r>
              <w:rPr>
                <w:rFonts w:hint="eastAsia" w:ascii="宋体" w:hAnsi="宋体" w:cs="宋体"/>
                <w:color w:val="auto"/>
                <w:sz w:val="24"/>
                <w:szCs w:val="24"/>
                <w:highlight w:val="none"/>
              </w:rPr>
              <w:t>）指导学生参加校级以上专业比赛获二等奖以上。</w:t>
            </w:r>
          </w:p>
          <w:p>
            <w:pPr>
              <w:spacing w:line="360" w:lineRule="exact"/>
              <w:rPr>
                <w:rFonts w:ascii="宋体" w:hAnsi="宋体" w:cs="宋体"/>
                <w:color w:val="auto"/>
                <w:highlight w:val="none"/>
              </w:rPr>
            </w:pPr>
            <w:r>
              <w:rPr>
                <w:rFonts w:hint="eastAsia" w:ascii="宋体" w:hAnsi="宋体" w:cs="宋体"/>
                <w:color w:val="auto"/>
                <w:sz w:val="24"/>
                <w:szCs w:val="24"/>
                <w:highlight w:val="none"/>
              </w:rPr>
              <w:t>（</w:t>
            </w:r>
            <w:r>
              <w:rPr>
                <w:rFonts w:hint="eastAsia" w:ascii="宋体" w:hAnsi="宋体" w:cs="宋体"/>
                <w:color w:val="auto"/>
                <w:highlight w:val="none"/>
              </w:rPr>
              <w:t>7</w:t>
            </w:r>
            <w:r>
              <w:rPr>
                <w:rFonts w:hint="eastAsia" w:ascii="宋体" w:hAnsi="宋体" w:cs="宋体"/>
                <w:color w:val="auto"/>
                <w:sz w:val="24"/>
                <w:szCs w:val="24"/>
                <w:highlight w:val="none"/>
              </w:rPr>
              <w:t>）艺术类教师参与完成校级以上大型项目设计或企业形象设计，取得良好的社会、经济效益。</w:t>
            </w:r>
          </w:p>
          <w:p>
            <w:pPr>
              <w:spacing w:before="101" w:line="230" w:lineRule="auto"/>
              <w:ind w:right="121"/>
              <w:rPr>
                <w:rFonts w:ascii="宋体" w:hAnsi="宋体" w:eastAsia="宋体" w:cs="宋体"/>
                <w:color w:val="auto"/>
                <w:spacing w:val="1"/>
                <w:sz w:val="28"/>
                <w:szCs w:val="2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4" w:hRule="atLeast"/>
        </w:trPr>
        <w:tc>
          <w:tcPr>
            <w:tcW w:w="794" w:type="dxa"/>
            <w:vMerge w:val="restart"/>
            <w:tcBorders>
              <w:top w:val="single" w:color="auto" w:sz="4" w:space="0"/>
              <w:left w:val="single" w:color="auto" w:sz="4" w:space="0"/>
              <w:bottom w:val="single" w:color="auto" w:sz="4" w:space="0"/>
              <w:right w:val="single" w:color="auto" w:sz="4" w:space="0"/>
            </w:tcBorders>
          </w:tcPr>
          <w:p>
            <w:pPr>
              <w:jc w:val="center"/>
              <w:rPr>
                <w:color w:val="auto"/>
                <w:sz w:val="28"/>
                <w:szCs w:val="28"/>
                <w:highlight w:val="none"/>
              </w:rPr>
            </w:pPr>
          </w:p>
          <w:p>
            <w:pPr>
              <w:jc w:val="center"/>
              <w:rPr>
                <w:color w:val="auto"/>
                <w:sz w:val="28"/>
                <w:szCs w:val="28"/>
                <w:highlight w:val="none"/>
              </w:rPr>
            </w:pPr>
          </w:p>
          <w:p>
            <w:pPr>
              <w:jc w:val="center"/>
              <w:rPr>
                <w:color w:val="auto"/>
                <w:sz w:val="28"/>
                <w:szCs w:val="28"/>
                <w:highlight w:val="none"/>
              </w:rPr>
            </w:pPr>
          </w:p>
          <w:p>
            <w:pPr>
              <w:jc w:val="center"/>
              <w:rPr>
                <w:color w:val="auto"/>
                <w:sz w:val="28"/>
                <w:szCs w:val="28"/>
                <w:highlight w:val="none"/>
              </w:rPr>
            </w:pPr>
          </w:p>
          <w:p>
            <w:pPr>
              <w:spacing w:before="78" w:line="219" w:lineRule="auto"/>
              <w:jc w:val="center"/>
              <w:rPr>
                <w:rFonts w:ascii="宋体" w:hAnsi="宋体" w:eastAsia="宋体" w:cs="宋体"/>
                <w:color w:val="auto"/>
                <w:sz w:val="28"/>
                <w:szCs w:val="28"/>
                <w:highlight w:val="none"/>
              </w:rPr>
            </w:pPr>
            <w:r>
              <w:rPr>
                <w:rFonts w:ascii="宋体" w:hAnsi="宋体" w:eastAsia="宋体" w:cs="宋体"/>
                <w:b/>
                <w:bCs/>
                <w:color w:val="auto"/>
                <w:spacing w:val="-3"/>
                <w:sz w:val="28"/>
                <w:szCs w:val="28"/>
                <w:highlight w:val="none"/>
              </w:rPr>
              <w:t>助教</w:t>
            </w:r>
          </w:p>
        </w:tc>
        <w:tc>
          <w:tcPr>
            <w:tcW w:w="494" w:type="dxa"/>
            <w:tcBorders>
              <w:top w:val="single" w:color="auto" w:sz="4" w:space="0"/>
              <w:left w:val="single" w:color="auto" w:sz="4" w:space="0"/>
              <w:bottom w:val="single" w:color="auto" w:sz="4" w:space="0"/>
              <w:right w:val="single" w:color="auto" w:sz="4" w:space="0"/>
            </w:tcBorders>
          </w:tcPr>
          <w:p>
            <w:pPr>
              <w:spacing w:before="78" w:line="255" w:lineRule="auto"/>
              <w:ind w:right="134"/>
              <w:jc w:val="center"/>
              <w:rPr>
                <w:rFonts w:ascii="宋体" w:hAnsi="宋体" w:eastAsia="宋体" w:cs="宋体"/>
                <w:color w:val="auto"/>
                <w:sz w:val="28"/>
                <w:szCs w:val="28"/>
                <w:highlight w:val="none"/>
              </w:rPr>
            </w:pPr>
            <w:r>
              <w:rPr>
                <w:rFonts w:hint="eastAsia" w:ascii="宋体" w:hAnsi="宋体" w:cs="宋体"/>
                <w:color w:val="auto"/>
                <w:sz w:val="24"/>
                <w:szCs w:val="24"/>
                <w:highlight w:val="none"/>
              </w:rPr>
              <w:t>专业</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工作能力</w:t>
            </w:r>
          </w:p>
        </w:tc>
        <w:tc>
          <w:tcPr>
            <w:tcW w:w="8601" w:type="dxa"/>
            <w:tcBorders>
              <w:top w:val="single" w:color="auto" w:sz="4" w:space="0"/>
              <w:left w:val="single" w:color="auto" w:sz="4" w:space="0"/>
              <w:bottom w:val="single" w:color="auto" w:sz="4" w:space="0"/>
              <w:right w:val="single" w:color="auto" w:sz="4" w:space="0"/>
            </w:tcBorders>
          </w:tcPr>
          <w:p>
            <w:pPr>
              <w:spacing w:line="360" w:lineRule="exact"/>
              <w:rPr>
                <w:rFonts w:ascii="宋体" w:hAnsi="宋体" w:cs="宋体"/>
                <w:color w:val="auto"/>
                <w:highlight w:val="none"/>
              </w:rPr>
            </w:pPr>
            <w:r>
              <w:rPr>
                <w:rFonts w:hint="eastAsia" w:ascii="宋体" w:hAnsi="宋体" w:cs="宋体"/>
                <w:b/>
                <w:bCs/>
                <w:color w:val="auto"/>
                <w:sz w:val="24"/>
                <w:szCs w:val="24"/>
                <w:highlight w:val="none"/>
              </w:rPr>
              <w:t>专业工作能力应具备下列条件：</w:t>
            </w:r>
          </w:p>
          <w:p>
            <w:pPr>
              <w:spacing w:line="360" w:lineRule="exact"/>
              <w:rPr>
                <w:rFonts w:ascii="宋体" w:hAnsi="宋体" w:cs="宋体"/>
                <w:color w:val="auto"/>
                <w:highlight w:val="none"/>
              </w:rPr>
            </w:pPr>
            <w:r>
              <w:rPr>
                <w:rFonts w:hint="eastAsia" w:ascii="宋体" w:hAnsi="宋体" w:cs="宋体"/>
                <w:color w:val="auto"/>
                <w:sz w:val="24"/>
                <w:szCs w:val="24"/>
                <w:highlight w:val="none"/>
              </w:rPr>
              <w:t>（</w:t>
            </w:r>
            <w:r>
              <w:rPr>
                <w:rFonts w:hint="eastAsia" w:ascii="宋体" w:hAnsi="宋体" w:cs="宋体"/>
                <w:color w:val="auto"/>
                <w:highlight w:val="none"/>
              </w:rPr>
              <w:t>1</w:t>
            </w:r>
            <w:r>
              <w:rPr>
                <w:rFonts w:hint="eastAsia" w:ascii="宋体" w:hAnsi="宋体" w:cs="宋体"/>
                <w:color w:val="auto"/>
                <w:sz w:val="24"/>
                <w:szCs w:val="24"/>
                <w:highlight w:val="none"/>
              </w:rPr>
              <w:t>）承担部分课程的辅导、答疑、批改作业、辅学课、实验课、组织课堂讨论等教学环节工作</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rPr>
              <w:t>将思想政治教育较好融入教学，在学生培养工作中做出积极贡献。</w:t>
            </w:r>
          </w:p>
          <w:p>
            <w:pPr>
              <w:spacing w:line="360" w:lineRule="exact"/>
              <w:rPr>
                <w:rFonts w:ascii="宋体" w:hAnsi="宋体" w:cs="宋体"/>
                <w:color w:val="auto"/>
                <w:highlight w:val="none"/>
              </w:rPr>
            </w:pPr>
            <w:r>
              <w:rPr>
                <w:rFonts w:hint="eastAsia" w:ascii="宋体" w:hAnsi="宋体" w:cs="宋体"/>
                <w:color w:val="auto"/>
                <w:sz w:val="24"/>
                <w:szCs w:val="24"/>
                <w:highlight w:val="none"/>
              </w:rPr>
              <w:t>（</w:t>
            </w:r>
            <w:r>
              <w:rPr>
                <w:rFonts w:hint="eastAsia" w:ascii="宋体" w:hAnsi="宋体" w:cs="宋体"/>
                <w:color w:val="auto"/>
                <w:highlight w:val="none"/>
              </w:rPr>
              <w:t>2</w:t>
            </w:r>
            <w:r>
              <w:rPr>
                <w:rFonts w:hint="eastAsia" w:ascii="宋体" w:hAnsi="宋体" w:cs="宋体"/>
                <w:color w:val="auto"/>
                <w:sz w:val="24"/>
                <w:szCs w:val="24"/>
                <w:highlight w:val="none"/>
              </w:rPr>
              <w:t>）担任学生的思想政治工作或教学、科研方面的管理工作。</w:t>
            </w:r>
          </w:p>
          <w:p>
            <w:pPr>
              <w:spacing w:before="101" w:line="230" w:lineRule="auto"/>
              <w:ind w:right="121"/>
              <w:rPr>
                <w:rFonts w:ascii="宋体" w:hAnsi="宋体" w:eastAsia="宋体" w:cs="宋体"/>
                <w:color w:val="auto"/>
                <w:spacing w:val="1"/>
                <w:sz w:val="28"/>
                <w:szCs w:val="28"/>
                <w:highlight w:val="none"/>
              </w:rPr>
            </w:pPr>
            <w:r>
              <w:rPr>
                <w:rFonts w:hint="eastAsia" w:ascii="宋体" w:hAnsi="宋体" w:cs="宋体"/>
                <w:color w:val="auto"/>
                <w:sz w:val="24"/>
                <w:szCs w:val="24"/>
                <w:highlight w:val="none"/>
              </w:rPr>
              <w:t>（</w:t>
            </w:r>
            <w:r>
              <w:rPr>
                <w:rFonts w:hint="eastAsia" w:ascii="宋体" w:hAnsi="宋体" w:cs="宋体"/>
                <w:color w:val="auto"/>
                <w:highlight w:val="none"/>
              </w:rPr>
              <w:t>3</w:t>
            </w:r>
            <w:r>
              <w:rPr>
                <w:rFonts w:hint="eastAsia" w:ascii="宋体" w:hAnsi="宋体" w:cs="宋体"/>
                <w:color w:val="auto"/>
                <w:sz w:val="24"/>
                <w:szCs w:val="24"/>
                <w:highlight w:val="none"/>
              </w:rPr>
              <w:t>）参加组织和指导学生生产实习、社会调查等方面的工作。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45" w:hRule="atLeast"/>
        </w:trPr>
        <w:tc>
          <w:tcPr>
            <w:tcW w:w="794" w:type="dxa"/>
            <w:vMerge w:val="continue"/>
            <w:tcBorders>
              <w:top w:val="single" w:color="auto" w:sz="4" w:space="0"/>
              <w:left w:val="single" w:color="auto" w:sz="4" w:space="0"/>
              <w:bottom w:val="single" w:color="auto" w:sz="4" w:space="0"/>
              <w:right w:val="single" w:color="auto" w:sz="4" w:space="0"/>
            </w:tcBorders>
          </w:tcPr>
          <w:p>
            <w:pPr>
              <w:jc w:val="center"/>
              <w:rPr>
                <w:color w:val="auto"/>
                <w:sz w:val="28"/>
                <w:szCs w:val="28"/>
                <w:highlight w:val="none"/>
              </w:rPr>
            </w:pPr>
          </w:p>
        </w:tc>
        <w:tc>
          <w:tcPr>
            <w:tcW w:w="494" w:type="dxa"/>
            <w:tcBorders>
              <w:top w:val="single" w:color="auto" w:sz="4" w:space="0"/>
              <w:left w:val="single" w:color="auto" w:sz="4" w:space="0"/>
              <w:bottom w:val="single" w:color="auto" w:sz="4" w:space="0"/>
              <w:right w:val="single" w:color="auto" w:sz="4" w:space="0"/>
            </w:tcBorders>
          </w:tcPr>
          <w:p>
            <w:pPr>
              <w:spacing w:before="79" w:line="258" w:lineRule="auto"/>
              <w:ind w:left="126" w:hanging="106"/>
              <w:jc w:val="center"/>
              <w:rPr>
                <w:rFonts w:ascii="宋体" w:hAnsi="宋体" w:cs="宋体"/>
                <w:color w:val="auto"/>
                <w:sz w:val="24"/>
                <w:szCs w:val="24"/>
                <w:highlight w:val="none"/>
              </w:rPr>
            </w:pPr>
            <w:r>
              <w:rPr>
                <w:rFonts w:hint="eastAsia" w:ascii="宋体" w:hAnsi="宋体" w:cs="宋体"/>
                <w:color w:val="auto"/>
                <w:sz w:val="24"/>
                <w:szCs w:val="24"/>
                <w:highlight w:val="none"/>
              </w:rPr>
              <w:t>工</w:t>
            </w:r>
          </w:p>
          <w:p>
            <w:pPr>
              <w:spacing w:before="79" w:line="258" w:lineRule="auto"/>
              <w:ind w:left="126" w:hanging="106"/>
              <w:jc w:val="center"/>
              <w:rPr>
                <w:rFonts w:ascii="宋体" w:hAnsi="宋体" w:cs="宋体"/>
                <w:color w:val="auto"/>
                <w:sz w:val="24"/>
                <w:szCs w:val="24"/>
                <w:highlight w:val="none"/>
              </w:rPr>
            </w:pPr>
            <w:r>
              <w:rPr>
                <w:rFonts w:hint="eastAsia" w:ascii="宋体" w:hAnsi="宋体" w:cs="宋体"/>
                <w:color w:val="auto"/>
                <w:sz w:val="24"/>
                <w:szCs w:val="24"/>
                <w:highlight w:val="none"/>
              </w:rPr>
              <w:t>作</w:t>
            </w:r>
          </w:p>
          <w:p>
            <w:pPr>
              <w:spacing w:before="79" w:line="258" w:lineRule="auto"/>
              <w:ind w:left="126" w:hanging="106"/>
              <w:jc w:val="center"/>
              <w:rPr>
                <w:rFonts w:ascii="宋体" w:hAnsi="宋体" w:cs="宋体"/>
                <w:color w:val="auto"/>
                <w:sz w:val="24"/>
                <w:szCs w:val="24"/>
                <w:highlight w:val="none"/>
              </w:rPr>
            </w:pPr>
            <w:r>
              <w:rPr>
                <w:rFonts w:hint="eastAsia" w:ascii="宋体" w:hAnsi="宋体" w:cs="宋体"/>
                <w:color w:val="auto"/>
                <w:sz w:val="24"/>
                <w:szCs w:val="24"/>
                <w:highlight w:val="none"/>
              </w:rPr>
              <w:t>业</w:t>
            </w:r>
          </w:p>
          <w:p>
            <w:pPr>
              <w:spacing w:before="79" w:line="258" w:lineRule="auto"/>
              <w:ind w:left="126" w:hanging="106"/>
              <w:jc w:val="center"/>
              <w:rPr>
                <w:rFonts w:ascii="宋体" w:hAnsi="宋体" w:eastAsia="宋体" w:cs="宋体"/>
                <w:b/>
                <w:bCs/>
                <w:color w:val="auto"/>
                <w:sz w:val="28"/>
                <w:szCs w:val="28"/>
                <w:highlight w:val="none"/>
              </w:rPr>
            </w:pPr>
            <w:r>
              <w:rPr>
                <w:rFonts w:hint="eastAsia" w:ascii="宋体" w:hAnsi="宋体" w:cs="宋体"/>
                <w:color w:val="auto"/>
                <w:sz w:val="24"/>
                <w:szCs w:val="24"/>
                <w:highlight w:val="none"/>
              </w:rPr>
              <w:t>绩</w:t>
            </w:r>
          </w:p>
        </w:tc>
        <w:tc>
          <w:tcPr>
            <w:tcW w:w="8601" w:type="dxa"/>
            <w:tcBorders>
              <w:top w:val="single" w:color="auto" w:sz="4" w:space="0"/>
              <w:left w:val="single" w:color="auto" w:sz="4" w:space="0"/>
              <w:bottom w:val="single" w:color="auto" w:sz="4" w:space="0"/>
              <w:right w:val="single" w:color="auto" w:sz="4" w:space="0"/>
            </w:tcBorders>
          </w:tcPr>
          <w:p>
            <w:pPr>
              <w:spacing w:before="101" w:line="230" w:lineRule="auto"/>
              <w:ind w:left="102" w:right="121"/>
              <w:rPr>
                <w:rFonts w:ascii="宋体" w:hAnsi="宋体" w:eastAsia="宋体" w:cs="宋体"/>
                <w:color w:val="auto"/>
                <w:spacing w:val="1"/>
                <w:sz w:val="28"/>
                <w:szCs w:val="28"/>
                <w:highlight w:val="none"/>
              </w:rPr>
            </w:pPr>
          </w:p>
          <w:p>
            <w:pPr>
              <w:spacing w:before="101" w:line="230" w:lineRule="auto"/>
              <w:ind w:right="121"/>
              <w:rPr>
                <w:rFonts w:ascii="宋体" w:hAnsi="宋体" w:eastAsia="宋体" w:cs="宋体"/>
                <w:color w:val="auto"/>
                <w:spacing w:val="1"/>
                <w:sz w:val="28"/>
                <w:szCs w:val="28"/>
                <w:highlight w:val="none"/>
              </w:rPr>
            </w:pPr>
            <w:r>
              <w:rPr>
                <w:rFonts w:hint="eastAsia" w:ascii="宋体" w:hAnsi="宋体" w:cs="宋体"/>
                <w:color w:val="auto"/>
                <w:sz w:val="24"/>
                <w:szCs w:val="24"/>
                <w:highlight w:val="none"/>
              </w:rPr>
              <w:t>任现职以来，取得较好的工作业绩，能较好地完成所担负的教学、科研、技术开发、社会服务及其他科学技术工作的辅助性工作任务。</w:t>
            </w:r>
          </w:p>
        </w:tc>
      </w:tr>
    </w:tbl>
    <w:p>
      <w:pPr>
        <w:rPr>
          <w:rFonts w:eastAsia="宋体"/>
          <w:color w:val="auto"/>
          <w:sz w:val="28"/>
          <w:szCs w:val="28"/>
          <w:highlight w:val="none"/>
        </w:rPr>
      </w:pPr>
    </w:p>
    <w:sectPr>
      <w:footerReference r:id="rId6" w:type="default"/>
      <w:pgSz w:w="11920" w:h="16840"/>
      <w:pgMar w:top="400" w:right="1500" w:bottom="400" w:left="1580" w:header="0" w:footer="34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101" o:spid="_x0000_s4101"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31" w:lineRule="exact"/>
      <w:ind w:firstLine="475"/>
      <w:rPr>
        <w:rFonts w:ascii="仿宋" w:hAnsi="仿宋" w:eastAsia="仿宋" w:cs="仿宋"/>
        <w:sz w:val="19"/>
        <w:szCs w:val="19"/>
      </w:rPr>
    </w:pPr>
    <w:r>
      <w:rPr>
        <w:sz w:val="19"/>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r>
      <w:rPr>
        <w:sz w:val="2"/>
      </w:rPr>
      <w:pict>
        <v:shape id="_x0000_s4099"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r>
      <w:rPr>
        <w:sz w:val="2"/>
      </w:rPr>
      <w:pict>
        <v:shape id="_x0000_s4100" o:spid="_x0000_s4100"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19</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hdrShapeDefaults>
    <o:shapelayout v:ext="edit">
      <o:idmap v:ext="edit" data="3,4"/>
    </o:shapelayout>
  </w:hdrShapeDefaults>
  <w:compat>
    <w:spaceForUL/>
    <w:ulTrailSpace/>
    <w:doNotExpandShiftReturn/>
    <w:doNotWrapTextWithPunct/>
    <w:doNotUseEastAsianBreakRules/>
    <w:useFELayout/>
    <w:doNotUseIndentAsNumberingTabStop/>
    <w:compatSetting w:name="compatibilityMode" w:uri="http://schemas.microsoft.com/office/word" w:val="12"/>
  </w:compat>
  <w:docVars>
    <w:docVar w:name="commondata" w:val="eyJoZGlkIjoiMGZlZWM0MWMzNmY3ODJiM2NmZjYxMzZlZTIwZDEwNTcifQ=="/>
  </w:docVars>
  <w:rsids>
    <w:rsidRoot w:val="002636FF"/>
    <w:rsid w:val="001570FF"/>
    <w:rsid w:val="002636FF"/>
    <w:rsid w:val="0027205F"/>
    <w:rsid w:val="00496DA9"/>
    <w:rsid w:val="005574FC"/>
    <w:rsid w:val="005C7456"/>
    <w:rsid w:val="008C7012"/>
    <w:rsid w:val="00906786"/>
    <w:rsid w:val="00BF52BD"/>
    <w:rsid w:val="00BF706B"/>
    <w:rsid w:val="00E35FF4"/>
    <w:rsid w:val="00EC7F25"/>
    <w:rsid w:val="00ED5986"/>
    <w:rsid w:val="010A70EA"/>
    <w:rsid w:val="01244BB8"/>
    <w:rsid w:val="01260E98"/>
    <w:rsid w:val="01352CEB"/>
    <w:rsid w:val="0136732D"/>
    <w:rsid w:val="013A3FC1"/>
    <w:rsid w:val="01423F24"/>
    <w:rsid w:val="016D4D19"/>
    <w:rsid w:val="0187402D"/>
    <w:rsid w:val="019978BC"/>
    <w:rsid w:val="01C257A0"/>
    <w:rsid w:val="01CC5EE4"/>
    <w:rsid w:val="01DB1EFD"/>
    <w:rsid w:val="01DB7ED5"/>
    <w:rsid w:val="01DD4D72"/>
    <w:rsid w:val="022609DB"/>
    <w:rsid w:val="023A2E4D"/>
    <w:rsid w:val="023B4DEC"/>
    <w:rsid w:val="024B6E08"/>
    <w:rsid w:val="025C7268"/>
    <w:rsid w:val="02620663"/>
    <w:rsid w:val="027A5839"/>
    <w:rsid w:val="02B32C00"/>
    <w:rsid w:val="02B7502A"/>
    <w:rsid w:val="02BA21E0"/>
    <w:rsid w:val="02DA376B"/>
    <w:rsid w:val="0305345B"/>
    <w:rsid w:val="030B47EA"/>
    <w:rsid w:val="032A1114"/>
    <w:rsid w:val="03304250"/>
    <w:rsid w:val="03522419"/>
    <w:rsid w:val="03541CED"/>
    <w:rsid w:val="037E320E"/>
    <w:rsid w:val="0383730C"/>
    <w:rsid w:val="039B3DC0"/>
    <w:rsid w:val="039C3694"/>
    <w:rsid w:val="03A74512"/>
    <w:rsid w:val="03AB1B7F"/>
    <w:rsid w:val="03B44E81"/>
    <w:rsid w:val="03CD539B"/>
    <w:rsid w:val="03E71771"/>
    <w:rsid w:val="03F117A3"/>
    <w:rsid w:val="03F62DA4"/>
    <w:rsid w:val="043438CC"/>
    <w:rsid w:val="043A35D9"/>
    <w:rsid w:val="044004C3"/>
    <w:rsid w:val="045A77D7"/>
    <w:rsid w:val="04616819"/>
    <w:rsid w:val="046C2ACF"/>
    <w:rsid w:val="04714FAC"/>
    <w:rsid w:val="04752DBF"/>
    <w:rsid w:val="04762137"/>
    <w:rsid w:val="047D7CD3"/>
    <w:rsid w:val="049F517C"/>
    <w:rsid w:val="04A15406"/>
    <w:rsid w:val="04B50EB1"/>
    <w:rsid w:val="04D05CEB"/>
    <w:rsid w:val="04D37589"/>
    <w:rsid w:val="05094D59"/>
    <w:rsid w:val="050F1EA2"/>
    <w:rsid w:val="052102F4"/>
    <w:rsid w:val="05240C70"/>
    <w:rsid w:val="055A5DCC"/>
    <w:rsid w:val="055B3806"/>
    <w:rsid w:val="05886641"/>
    <w:rsid w:val="05921AEE"/>
    <w:rsid w:val="05976809"/>
    <w:rsid w:val="059E4F18"/>
    <w:rsid w:val="05A41511"/>
    <w:rsid w:val="05A64EA5"/>
    <w:rsid w:val="05BA4024"/>
    <w:rsid w:val="05C313AC"/>
    <w:rsid w:val="05C375FE"/>
    <w:rsid w:val="06253E14"/>
    <w:rsid w:val="066367D7"/>
    <w:rsid w:val="067C2CE7"/>
    <w:rsid w:val="06AE204C"/>
    <w:rsid w:val="06BA455D"/>
    <w:rsid w:val="06E718C8"/>
    <w:rsid w:val="07181283"/>
    <w:rsid w:val="071F4C74"/>
    <w:rsid w:val="072639A0"/>
    <w:rsid w:val="07267E44"/>
    <w:rsid w:val="07322345"/>
    <w:rsid w:val="074F1149"/>
    <w:rsid w:val="075449B1"/>
    <w:rsid w:val="07627BDA"/>
    <w:rsid w:val="076B3AA9"/>
    <w:rsid w:val="077706A0"/>
    <w:rsid w:val="07D23B28"/>
    <w:rsid w:val="07D653C6"/>
    <w:rsid w:val="07EA0493"/>
    <w:rsid w:val="07F7358F"/>
    <w:rsid w:val="08033CE1"/>
    <w:rsid w:val="0808754A"/>
    <w:rsid w:val="084A7B62"/>
    <w:rsid w:val="087F53D8"/>
    <w:rsid w:val="088C017B"/>
    <w:rsid w:val="08951AAF"/>
    <w:rsid w:val="08A92ADB"/>
    <w:rsid w:val="08A96637"/>
    <w:rsid w:val="08B84ACC"/>
    <w:rsid w:val="08BA12DC"/>
    <w:rsid w:val="08E50D18"/>
    <w:rsid w:val="090917CB"/>
    <w:rsid w:val="090C3DE8"/>
    <w:rsid w:val="091F3829"/>
    <w:rsid w:val="09581E0B"/>
    <w:rsid w:val="095D5673"/>
    <w:rsid w:val="098721D1"/>
    <w:rsid w:val="09883AD6"/>
    <w:rsid w:val="09B47989"/>
    <w:rsid w:val="09DC2A3C"/>
    <w:rsid w:val="09E3201C"/>
    <w:rsid w:val="09FA5236"/>
    <w:rsid w:val="0A025B2D"/>
    <w:rsid w:val="0A1555F5"/>
    <w:rsid w:val="0A171CC6"/>
    <w:rsid w:val="0A1B0C64"/>
    <w:rsid w:val="0A20375B"/>
    <w:rsid w:val="0A256191"/>
    <w:rsid w:val="0A2C5771"/>
    <w:rsid w:val="0A466107"/>
    <w:rsid w:val="0A5C37D7"/>
    <w:rsid w:val="0A71587A"/>
    <w:rsid w:val="0A854E82"/>
    <w:rsid w:val="0AA44D6C"/>
    <w:rsid w:val="0AAC68B2"/>
    <w:rsid w:val="0AB3379D"/>
    <w:rsid w:val="0ABF0394"/>
    <w:rsid w:val="0ACC2AB1"/>
    <w:rsid w:val="0AEE6ECB"/>
    <w:rsid w:val="0AF12517"/>
    <w:rsid w:val="0AF40828"/>
    <w:rsid w:val="0B0C5637"/>
    <w:rsid w:val="0B1B7594"/>
    <w:rsid w:val="0B212DFC"/>
    <w:rsid w:val="0B440899"/>
    <w:rsid w:val="0B462863"/>
    <w:rsid w:val="0B680A2B"/>
    <w:rsid w:val="0B6902FF"/>
    <w:rsid w:val="0BA31A63"/>
    <w:rsid w:val="0BB04180"/>
    <w:rsid w:val="0BC11EE9"/>
    <w:rsid w:val="0BC8771C"/>
    <w:rsid w:val="0BCD1B5D"/>
    <w:rsid w:val="0BCD4D32"/>
    <w:rsid w:val="0BDC311C"/>
    <w:rsid w:val="0BF64430"/>
    <w:rsid w:val="0C0F70F9"/>
    <w:rsid w:val="0C1F1EFB"/>
    <w:rsid w:val="0C2F32F7"/>
    <w:rsid w:val="0C452B1A"/>
    <w:rsid w:val="0C4D3A03"/>
    <w:rsid w:val="0C4D5E73"/>
    <w:rsid w:val="0C831895"/>
    <w:rsid w:val="0C8A2C23"/>
    <w:rsid w:val="0C9870EE"/>
    <w:rsid w:val="0C9B273A"/>
    <w:rsid w:val="0C9E617B"/>
    <w:rsid w:val="0CA15669"/>
    <w:rsid w:val="0CB00C93"/>
    <w:rsid w:val="0CB952B6"/>
    <w:rsid w:val="0CF32576"/>
    <w:rsid w:val="0CF91B2D"/>
    <w:rsid w:val="0D046B3C"/>
    <w:rsid w:val="0D0C2BB8"/>
    <w:rsid w:val="0D132727"/>
    <w:rsid w:val="0D3606B5"/>
    <w:rsid w:val="0D607DC0"/>
    <w:rsid w:val="0D703BC7"/>
    <w:rsid w:val="0D903663"/>
    <w:rsid w:val="0D933D59"/>
    <w:rsid w:val="0D975D53"/>
    <w:rsid w:val="0D9B624C"/>
    <w:rsid w:val="0D9F44AC"/>
    <w:rsid w:val="0DA01F17"/>
    <w:rsid w:val="0DC851A8"/>
    <w:rsid w:val="0DD73C46"/>
    <w:rsid w:val="0DDA7292"/>
    <w:rsid w:val="0DE46363"/>
    <w:rsid w:val="0E236E8B"/>
    <w:rsid w:val="0E2B3F92"/>
    <w:rsid w:val="0E2F3A82"/>
    <w:rsid w:val="0E325320"/>
    <w:rsid w:val="0E4312DC"/>
    <w:rsid w:val="0E497E38"/>
    <w:rsid w:val="0E5A03D3"/>
    <w:rsid w:val="0E5E1C72"/>
    <w:rsid w:val="0E6A6868"/>
    <w:rsid w:val="0E796AAB"/>
    <w:rsid w:val="0E7E0566"/>
    <w:rsid w:val="0E977B4B"/>
    <w:rsid w:val="0EA93293"/>
    <w:rsid w:val="0EAD149C"/>
    <w:rsid w:val="0EBB3568"/>
    <w:rsid w:val="0EDB0027"/>
    <w:rsid w:val="0EE26D46"/>
    <w:rsid w:val="0EEE56EB"/>
    <w:rsid w:val="0EFC2CFD"/>
    <w:rsid w:val="0EFE3455"/>
    <w:rsid w:val="0F0521B8"/>
    <w:rsid w:val="0F20161D"/>
    <w:rsid w:val="0F3D5D2B"/>
    <w:rsid w:val="0F497356"/>
    <w:rsid w:val="0F4D1A20"/>
    <w:rsid w:val="0F53554E"/>
    <w:rsid w:val="0F5D017B"/>
    <w:rsid w:val="0F752A09"/>
    <w:rsid w:val="0F7B3941"/>
    <w:rsid w:val="0F825E34"/>
    <w:rsid w:val="0FAE4E7B"/>
    <w:rsid w:val="0FF52AA9"/>
    <w:rsid w:val="100E1475"/>
    <w:rsid w:val="100E76C7"/>
    <w:rsid w:val="10583D25"/>
    <w:rsid w:val="10675755"/>
    <w:rsid w:val="108005C5"/>
    <w:rsid w:val="109D1177"/>
    <w:rsid w:val="10C1473A"/>
    <w:rsid w:val="10F32A84"/>
    <w:rsid w:val="110B1594"/>
    <w:rsid w:val="113B0990"/>
    <w:rsid w:val="11531836"/>
    <w:rsid w:val="11A70D04"/>
    <w:rsid w:val="11B322D4"/>
    <w:rsid w:val="12062D4C"/>
    <w:rsid w:val="120B3EBE"/>
    <w:rsid w:val="12403C8F"/>
    <w:rsid w:val="12B0542D"/>
    <w:rsid w:val="12C16C73"/>
    <w:rsid w:val="12CB18A0"/>
    <w:rsid w:val="12D1335A"/>
    <w:rsid w:val="12D90460"/>
    <w:rsid w:val="12F90557"/>
    <w:rsid w:val="13031039"/>
    <w:rsid w:val="13166FBF"/>
    <w:rsid w:val="131F390F"/>
    <w:rsid w:val="133631BD"/>
    <w:rsid w:val="137541AD"/>
    <w:rsid w:val="13906A1B"/>
    <w:rsid w:val="13C70395"/>
    <w:rsid w:val="1401010A"/>
    <w:rsid w:val="143A0340"/>
    <w:rsid w:val="14447B5C"/>
    <w:rsid w:val="144F4060"/>
    <w:rsid w:val="146A278E"/>
    <w:rsid w:val="14774DBB"/>
    <w:rsid w:val="148A5A68"/>
    <w:rsid w:val="148B578A"/>
    <w:rsid w:val="14A423A8"/>
    <w:rsid w:val="14A625C4"/>
    <w:rsid w:val="14E86739"/>
    <w:rsid w:val="14EF7AC7"/>
    <w:rsid w:val="14F5681A"/>
    <w:rsid w:val="15121A08"/>
    <w:rsid w:val="151B4D60"/>
    <w:rsid w:val="152D6842"/>
    <w:rsid w:val="15357EBA"/>
    <w:rsid w:val="154F4A0A"/>
    <w:rsid w:val="15512530"/>
    <w:rsid w:val="15525A21"/>
    <w:rsid w:val="15542020"/>
    <w:rsid w:val="15657D89"/>
    <w:rsid w:val="15704A83"/>
    <w:rsid w:val="15836462"/>
    <w:rsid w:val="158D108E"/>
    <w:rsid w:val="15C56A7A"/>
    <w:rsid w:val="15F31747"/>
    <w:rsid w:val="160C3F81"/>
    <w:rsid w:val="160F3C8F"/>
    <w:rsid w:val="161517B0"/>
    <w:rsid w:val="161D0664"/>
    <w:rsid w:val="16414353"/>
    <w:rsid w:val="16565924"/>
    <w:rsid w:val="1674297A"/>
    <w:rsid w:val="1684137A"/>
    <w:rsid w:val="16873D30"/>
    <w:rsid w:val="16A82624"/>
    <w:rsid w:val="16B94831"/>
    <w:rsid w:val="1703785A"/>
    <w:rsid w:val="17280439"/>
    <w:rsid w:val="172906F4"/>
    <w:rsid w:val="172B0B5F"/>
    <w:rsid w:val="172D2B29"/>
    <w:rsid w:val="172F68A1"/>
    <w:rsid w:val="174340FA"/>
    <w:rsid w:val="175834ED"/>
    <w:rsid w:val="176C6F1B"/>
    <w:rsid w:val="178C113F"/>
    <w:rsid w:val="179C102A"/>
    <w:rsid w:val="17A10E21"/>
    <w:rsid w:val="181066D2"/>
    <w:rsid w:val="18267CA4"/>
    <w:rsid w:val="183028D1"/>
    <w:rsid w:val="18335F1D"/>
    <w:rsid w:val="18357EE7"/>
    <w:rsid w:val="18363C5F"/>
    <w:rsid w:val="1841421E"/>
    <w:rsid w:val="185365BF"/>
    <w:rsid w:val="187A3B4C"/>
    <w:rsid w:val="187F5606"/>
    <w:rsid w:val="18910E95"/>
    <w:rsid w:val="18CC613F"/>
    <w:rsid w:val="190306EA"/>
    <w:rsid w:val="191A0E8B"/>
    <w:rsid w:val="193B0D9A"/>
    <w:rsid w:val="194918FE"/>
    <w:rsid w:val="195C5947"/>
    <w:rsid w:val="19636CD6"/>
    <w:rsid w:val="198D5B01"/>
    <w:rsid w:val="19A01D76"/>
    <w:rsid w:val="19B3364E"/>
    <w:rsid w:val="19B922A2"/>
    <w:rsid w:val="19C23F20"/>
    <w:rsid w:val="19C91906"/>
    <w:rsid w:val="19CF7EC7"/>
    <w:rsid w:val="19D72D8D"/>
    <w:rsid w:val="19DC4392"/>
    <w:rsid w:val="1A0C2EC9"/>
    <w:rsid w:val="1A145B6D"/>
    <w:rsid w:val="1A1A1DAA"/>
    <w:rsid w:val="1A271AB1"/>
    <w:rsid w:val="1A2E0F1B"/>
    <w:rsid w:val="1A304E0A"/>
    <w:rsid w:val="1A3537A8"/>
    <w:rsid w:val="1A404921"/>
    <w:rsid w:val="1A442663"/>
    <w:rsid w:val="1A675FE6"/>
    <w:rsid w:val="1A774239"/>
    <w:rsid w:val="1A864A2A"/>
    <w:rsid w:val="1A9A7B62"/>
    <w:rsid w:val="1A9C424D"/>
    <w:rsid w:val="1AB377E9"/>
    <w:rsid w:val="1AE6196C"/>
    <w:rsid w:val="1B0B13D3"/>
    <w:rsid w:val="1B375D24"/>
    <w:rsid w:val="1B4346C9"/>
    <w:rsid w:val="1B4A1EFB"/>
    <w:rsid w:val="1B574618"/>
    <w:rsid w:val="1BA35913"/>
    <w:rsid w:val="1BAF64F0"/>
    <w:rsid w:val="1BB455C7"/>
    <w:rsid w:val="1BD01CD5"/>
    <w:rsid w:val="1BF200F1"/>
    <w:rsid w:val="1C27223D"/>
    <w:rsid w:val="1C36422E"/>
    <w:rsid w:val="1C4675E8"/>
    <w:rsid w:val="1C581989"/>
    <w:rsid w:val="1C6C7C4F"/>
    <w:rsid w:val="1C6F14EE"/>
    <w:rsid w:val="1C964CCC"/>
    <w:rsid w:val="1C974C1A"/>
    <w:rsid w:val="1C9D24FF"/>
    <w:rsid w:val="1CC17F9B"/>
    <w:rsid w:val="1CC57360"/>
    <w:rsid w:val="1CCC6940"/>
    <w:rsid w:val="1CDD0B4D"/>
    <w:rsid w:val="1CE27F12"/>
    <w:rsid w:val="1D1C1676"/>
    <w:rsid w:val="1D38301E"/>
    <w:rsid w:val="1D4D182F"/>
    <w:rsid w:val="1D556936"/>
    <w:rsid w:val="1D596426"/>
    <w:rsid w:val="1D6573BB"/>
    <w:rsid w:val="1D84721B"/>
    <w:rsid w:val="1D92679E"/>
    <w:rsid w:val="1D9456B0"/>
    <w:rsid w:val="1DA5166B"/>
    <w:rsid w:val="1DF63710"/>
    <w:rsid w:val="1DF83E91"/>
    <w:rsid w:val="1DFC0162"/>
    <w:rsid w:val="1E29229C"/>
    <w:rsid w:val="1E2E417B"/>
    <w:rsid w:val="1E562965"/>
    <w:rsid w:val="1E655C2A"/>
    <w:rsid w:val="1E672DC4"/>
    <w:rsid w:val="1E945F56"/>
    <w:rsid w:val="1E9B77A4"/>
    <w:rsid w:val="1EBD4792"/>
    <w:rsid w:val="1ED4425A"/>
    <w:rsid w:val="1F117043"/>
    <w:rsid w:val="1F31715C"/>
    <w:rsid w:val="1F3709E9"/>
    <w:rsid w:val="1F4D1FBA"/>
    <w:rsid w:val="1F531594"/>
    <w:rsid w:val="1F5350F7"/>
    <w:rsid w:val="1F5A0BB5"/>
    <w:rsid w:val="1F5F1CED"/>
    <w:rsid w:val="1F617814"/>
    <w:rsid w:val="1F777037"/>
    <w:rsid w:val="1F8E2FE8"/>
    <w:rsid w:val="1F904C24"/>
    <w:rsid w:val="1F9C084C"/>
    <w:rsid w:val="1FA616CA"/>
    <w:rsid w:val="1FA67421"/>
    <w:rsid w:val="1FAE057F"/>
    <w:rsid w:val="1FB02549"/>
    <w:rsid w:val="1FC85AE5"/>
    <w:rsid w:val="1FEC3A03"/>
    <w:rsid w:val="20011119"/>
    <w:rsid w:val="20045E02"/>
    <w:rsid w:val="203C3DDD"/>
    <w:rsid w:val="20401B1F"/>
    <w:rsid w:val="20450EE3"/>
    <w:rsid w:val="20533B65"/>
    <w:rsid w:val="207911FF"/>
    <w:rsid w:val="207D067D"/>
    <w:rsid w:val="208732AA"/>
    <w:rsid w:val="20914128"/>
    <w:rsid w:val="20AA5C8C"/>
    <w:rsid w:val="20B87907"/>
    <w:rsid w:val="20BB2F53"/>
    <w:rsid w:val="20C52024"/>
    <w:rsid w:val="20CB65E1"/>
    <w:rsid w:val="20EB1A8B"/>
    <w:rsid w:val="20F070A1"/>
    <w:rsid w:val="210F504D"/>
    <w:rsid w:val="211663DC"/>
    <w:rsid w:val="213139E5"/>
    <w:rsid w:val="21316B02"/>
    <w:rsid w:val="21570ECE"/>
    <w:rsid w:val="21601A4E"/>
    <w:rsid w:val="21627873"/>
    <w:rsid w:val="216E446A"/>
    <w:rsid w:val="217025BF"/>
    <w:rsid w:val="21771E1D"/>
    <w:rsid w:val="217D7FA5"/>
    <w:rsid w:val="218872DA"/>
    <w:rsid w:val="21957C48"/>
    <w:rsid w:val="21B31E7D"/>
    <w:rsid w:val="21B856E5"/>
    <w:rsid w:val="21DC7694"/>
    <w:rsid w:val="22117958"/>
    <w:rsid w:val="22140B6D"/>
    <w:rsid w:val="22155B83"/>
    <w:rsid w:val="222A4D23"/>
    <w:rsid w:val="225C42C2"/>
    <w:rsid w:val="22623FCE"/>
    <w:rsid w:val="226F2247"/>
    <w:rsid w:val="22963C78"/>
    <w:rsid w:val="229B303C"/>
    <w:rsid w:val="22A16179"/>
    <w:rsid w:val="22A87507"/>
    <w:rsid w:val="22B20386"/>
    <w:rsid w:val="22B418E2"/>
    <w:rsid w:val="2373298F"/>
    <w:rsid w:val="23C6034D"/>
    <w:rsid w:val="23F52C20"/>
    <w:rsid w:val="24253506"/>
    <w:rsid w:val="242F6132"/>
    <w:rsid w:val="243279D1"/>
    <w:rsid w:val="24596D0B"/>
    <w:rsid w:val="245C7257"/>
    <w:rsid w:val="24637B8A"/>
    <w:rsid w:val="247022A7"/>
    <w:rsid w:val="24AE25E4"/>
    <w:rsid w:val="24B83A20"/>
    <w:rsid w:val="24B91EA0"/>
    <w:rsid w:val="25070E5D"/>
    <w:rsid w:val="25140E84"/>
    <w:rsid w:val="251470D6"/>
    <w:rsid w:val="252C4420"/>
    <w:rsid w:val="25473008"/>
    <w:rsid w:val="254774AC"/>
    <w:rsid w:val="256B4F5E"/>
    <w:rsid w:val="2573204F"/>
    <w:rsid w:val="25897982"/>
    <w:rsid w:val="25CB1E8B"/>
    <w:rsid w:val="25D50A44"/>
    <w:rsid w:val="25D51BCD"/>
    <w:rsid w:val="25D86356"/>
    <w:rsid w:val="25E46AA9"/>
    <w:rsid w:val="25E707F7"/>
    <w:rsid w:val="25E82A3D"/>
    <w:rsid w:val="25ED1E01"/>
    <w:rsid w:val="26064C51"/>
    <w:rsid w:val="26117D22"/>
    <w:rsid w:val="26133D2A"/>
    <w:rsid w:val="26215F4F"/>
    <w:rsid w:val="263E265D"/>
    <w:rsid w:val="26487037"/>
    <w:rsid w:val="266769A2"/>
    <w:rsid w:val="268C4D74"/>
    <w:rsid w:val="26964247"/>
    <w:rsid w:val="26A966F7"/>
    <w:rsid w:val="26BE379D"/>
    <w:rsid w:val="26E72CF4"/>
    <w:rsid w:val="2707674D"/>
    <w:rsid w:val="270E3F4B"/>
    <w:rsid w:val="275E1E82"/>
    <w:rsid w:val="27600482"/>
    <w:rsid w:val="27604855"/>
    <w:rsid w:val="27637EA1"/>
    <w:rsid w:val="27894998"/>
    <w:rsid w:val="27952750"/>
    <w:rsid w:val="27977117"/>
    <w:rsid w:val="279D3598"/>
    <w:rsid w:val="27BA5D13"/>
    <w:rsid w:val="27E2170E"/>
    <w:rsid w:val="27E50C16"/>
    <w:rsid w:val="27E83B84"/>
    <w:rsid w:val="280653FC"/>
    <w:rsid w:val="281178FD"/>
    <w:rsid w:val="28137B19"/>
    <w:rsid w:val="283755B5"/>
    <w:rsid w:val="284321AC"/>
    <w:rsid w:val="28763175"/>
    <w:rsid w:val="28A6273B"/>
    <w:rsid w:val="28AD5878"/>
    <w:rsid w:val="2906359D"/>
    <w:rsid w:val="291D29FD"/>
    <w:rsid w:val="293470A9"/>
    <w:rsid w:val="294C32E2"/>
    <w:rsid w:val="297E7214"/>
    <w:rsid w:val="2987431B"/>
    <w:rsid w:val="298E7457"/>
    <w:rsid w:val="299A1E4A"/>
    <w:rsid w:val="29A21154"/>
    <w:rsid w:val="29D37560"/>
    <w:rsid w:val="29E73632"/>
    <w:rsid w:val="2A0911D4"/>
    <w:rsid w:val="2A0B4F4C"/>
    <w:rsid w:val="2A0C4820"/>
    <w:rsid w:val="2A123AFF"/>
    <w:rsid w:val="2A8916D2"/>
    <w:rsid w:val="2A922F77"/>
    <w:rsid w:val="2AA1765E"/>
    <w:rsid w:val="2AC944BF"/>
    <w:rsid w:val="2AD510B6"/>
    <w:rsid w:val="2ADC0696"/>
    <w:rsid w:val="2AF27EBA"/>
    <w:rsid w:val="2B2A01B3"/>
    <w:rsid w:val="2B416606"/>
    <w:rsid w:val="2B467439"/>
    <w:rsid w:val="2B486052"/>
    <w:rsid w:val="2B674404"/>
    <w:rsid w:val="2B6B42DC"/>
    <w:rsid w:val="2BA411B4"/>
    <w:rsid w:val="2BB05DAB"/>
    <w:rsid w:val="2BB7383F"/>
    <w:rsid w:val="2BB76DDB"/>
    <w:rsid w:val="2BBA09D7"/>
    <w:rsid w:val="2BBF1BD7"/>
    <w:rsid w:val="2BD4136D"/>
    <w:rsid w:val="2BD55811"/>
    <w:rsid w:val="2BD65BF0"/>
    <w:rsid w:val="2BD870AF"/>
    <w:rsid w:val="2BE2738B"/>
    <w:rsid w:val="2BFA0DD4"/>
    <w:rsid w:val="2C1C3440"/>
    <w:rsid w:val="2C2E41EA"/>
    <w:rsid w:val="2C504E98"/>
    <w:rsid w:val="2C506C46"/>
    <w:rsid w:val="2C534414"/>
    <w:rsid w:val="2C550700"/>
    <w:rsid w:val="2C6941AB"/>
    <w:rsid w:val="2C701096"/>
    <w:rsid w:val="2C8526C4"/>
    <w:rsid w:val="2C866B0B"/>
    <w:rsid w:val="2CA945A8"/>
    <w:rsid w:val="2CAB0CC8"/>
    <w:rsid w:val="2CB200CF"/>
    <w:rsid w:val="2CC118F2"/>
    <w:rsid w:val="2CDA0C05"/>
    <w:rsid w:val="2D1114CA"/>
    <w:rsid w:val="2D5244DA"/>
    <w:rsid w:val="2D5E35E4"/>
    <w:rsid w:val="2DA00A52"/>
    <w:rsid w:val="2DA01E4F"/>
    <w:rsid w:val="2DB155D6"/>
    <w:rsid w:val="2DDC1E36"/>
    <w:rsid w:val="2DDC4ECD"/>
    <w:rsid w:val="2DE47F8D"/>
    <w:rsid w:val="2DE7182C"/>
    <w:rsid w:val="2DF61A6F"/>
    <w:rsid w:val="2E012991"/>
    <w:rsid w:val="2E0917A2"/>
    <w:rsid w:val="2E24482E"/>
    <w:rsid w:val="2E457F1A"/>
    <w:rsid w:val="2E50005F"/>
    <w:rsid w:val="2E611509"/>
    <w:rsid w:val="2E620EB2"/>
    <w:rsid w:val="2E7C4358"/>
    <w:rsid w:val="2E7D7A9A"/>
    <w:rsid w:val="2EA11BEE"/>
    <w:rsid w:val="2EBD02A2"/>
    <w:rsid w:val="2EC35DF5"/>
    <w:rsid w:val="2EF064BE"/>
    <w:rsid w:val="2EF22236"/>
    <w:rsid w:val="2EF57F78"/>
    <w:rsid w:val="2F01691D"/>
    <w:rsid w:val="2F146650"/>
    <w:rsid w:val="2F2A7C22"/>
    <w:rsid w:val="2F2B1BEC"/>
    <w:rsid w:val="2F4B7B98"/>
    <w:rsid w:val="2F4C7AA6"/>
    <w:rsid w:val="2F544C9F"/>
    <w:rsid w:val="2F574CF1"/>
    <w:rsid w:val="2F6F7D2B"/>
    <w:rsid w:val="2F785799"/>
    <w:rsid w:val="2FB63264"/>
    <w:rsid w:val="2FD44032"/>
    <w:rsid w:val="2FD858D0"/>
    <w:rsid w:val="2FE5304B"/>
    <w:rsid w:val="2FF629D2"/>
    <w:rsid w:val="30183F1E"/>
    <w:rsid w:val="30233EAF"/>
    <w:rsid w:val="30454BCD"/>
    <w:rsid w:val="3064172D"/>
    <w:rsid w:val="307D2E0A"/>
    <w:rsid w:val="30915A7F"/>
    <w:rsid w:val="30986D57"/>
    <w:rsid w:val="30AA08EF"/>
    <w:rsid w:val="30B579BF"/>
    <w:rsid w:val="30BD6874"/>
    <w:rsid w:val="30C65728"/>
    <w:rsid w:val="30C714A1"/>
    <w:rsid w:val="30CE6CD3"/>
    <w:rsid w:val="30D00355"/>
    <w:rsid w:val="30D81900"/>
    <w:rsid w:val="30DA11D4"/>
    <w:rsid w:val="30DB3B86"/>
    <w:rsid w:val="30DC13F0"/>
    <w:rsid w:val="30F32296"/>
    <w:rsid w:val="31181CFC"/>
    <w:rsid w:val="311F752F"/>
    <w:rsid w:val="31347487"/>
    <w:rsid w:val="313C59EB"/>
    <w:rsid w:val="3141513C"/>
    <w:rsid w:val="314E2579"/>
    <w:rsid w:val="315E1E05"/>
    <w:rsid w:val="315F792B"/>
    <w:rsid w:val="316B62D0"/>
    <w:rsid w:val="31800DCC"/>
    <w:rsid w:val="31853836"/>
    <w:rsid w:val="31892EFB"/>
    <w:rsid w:val="31952F34"/>
    <w:rsid w:val="319770C5"/>
    <w:rsid w:val="319C3B4D"/>
    <w:rsid w:val="320F303B"/>
    <w:rsid w:val="32163D42"/>
    <w:rsid w:val="32180206"/>
    <w:rsid w:val="32472899"/>
    <w:rsid w:val="32592978"/>
    <w:rsid w:val="329655CE"/>
    <w:rsid w:val="32A61CB5"/>
    <w:rsid w:val="32B4023A"/>
    <w:rsid w:val="32E53E60"/>
    <w:rsid w:val="32EC3440"/>
    <w:rsid w:val="32ED17CB"/>
    <w:rsid w:val="331309CD"/>
    <w:rsid w:val="33150BE9"/>
    <w:rsid w:val="331A464D"/>
    <w:rsid w:val="33386686"/>
    <w:rsid w:val="334A547D"/>
    <w:rsid w:val="33613E2E"/>
    <w:rsid w:val="336D4581"/>
    <w:rsid w:val="33890C8F"/>
    <w:rsid w:val="33926A40"/>
    <w:rsid w:val="341449FD"/>
    <w:rsid w:val="341C299F"/>
    <w:rsid w:val="342015F4"/>
    <w:rsid w:val="342A79DC"/>
    <w:rsid w:val="345B3A89"/>
    <w:rsid w:val="346F257B"/>
    <w:rsid w:val="348953EB"/>
    <w:rsid w:val="34CC4B82"/>
    <w:rsid w:val="3572028A"/>
    <w:rsid w:val="358530CB"/>
    <w:rsid w:val="358A2CD6"/>
    <w:rsid w:val="35B00755"/>
    <w:rsid w:val="35DF103A"/>
    <w:rsid w:val="35E36D7D"/>
    <w:rsid w:val="36032F7B"/>
    <w:rsid w:val="362877D1"/>
    <w:rsid w:val="36405F7D"/>
    <w:rsid w:val="36415851"/>
    <w:rsid w:val="367418D1"/>
    <w:rsid w:val="3679148F"/>
    <w:rsid w:val="369E0EF6"/>
    <w:rsid w:val="369E2CA4"/>
    <w:rsid w:val="36A37EB9"/>
    <w:rsid w:val="36BD137C"/>
    <w:rsid w:val="36E51F4E"/>
    <w:rsid w:val="36FF4C08"/>
    <w:rsid w:val="370276D6"/>
    <w:rsid w:val="371B40F4"/>
    <w:rsid w:val="374C482B"/>
    <w:rsid w:val="374E46CA"/>
    <w:rsid w:val="37773C20"/>
    <w:rsid w:val="377F4883"/>
    <w:rsid w:val="37863E63"/>
    <w:rsid w:val="37873779"/>
    <w:rsid w:val="378E4AC6"/>
    <w:rsid w:val="37976071"/>
    <w:rsid w:val="37E111D5"/>
    <w:rsid w:val="37ED3EE3"/>
    <w:rsid w:val="380E0A23"/>
    <w:rsid w:val="38194CD8"/>
    <w:rsid w:val="382673F4"/>
    <w:rsid w:val="38374DBC"/>
    <w:rsid w:val="384A6801"/>
    <w:rsid w:val="387463B2"/>
    <w:rsid w:val="387C7014"/>
    <w:rsid w:val="38824072"/>
    <w:rsid w:val="38832151"/>
    <w:rsid w:val="38B467AE"/>
    <w:rsid w:val="38C904AC"/>
    <w:rsid w:val="38EA0710"/>
    <w:rsid w:val="38F60B75"/>
    <w:rsid w:val="39111E53"/>
    <w:rsid w:val="39183E3F"/>
    <w:rsid w:val="39225E0E"/>
    <w:rsid w:val="3925145A"/>
    <w:rsid w:val="392E0749"/>
    <w:rsid w:val="39365415"/>
    <w:rsid w:val="394E275F"/>
    <w:rsid w:val="395104A1"/>
    <w:rsid w:val="39700927"/>
    <w:rsid w:val="3971644D"/>
    <w:rsid w:val="397D29BD"/>
    <w:rsid w:val="39941F91"/>
    <w:rsid w:val="39C96289"/>
    <w:rsid w:val="3A045513"/>
    <w:rsid w:val="3A0674A4"/>
    <w:rsid w:val="3A200C9E"/>
    <w:rsid w:val="3A2372E5"/>
    <w:rsid w:val="3A3C6A5B"/>
    <w:rsid w:val="3A4164A5"/>
    <w:rsid w:val="3A4678DA"/>
    <w:rsid w:val="3A5365BC"/>
    <w:rsid w:val="3A673743"/>
    <w:rsid w:val="3A726921"/>
    <w:rsid w:val="3A810912"/>
    <w:rsid w:val="3A84184F"/>
    <w:rsid w:val="3A960861"/>
    <w:rsid w:val="3A9B5E78"/>
    <w:rsid w:val="3A9D1931"/>
    <w:rsid w:val="3A9E7716"/>
    <w:rsid w:val="3AA51DBA"/>
    <w:rsid w:val="3AA82343"/>
    <w:rsid w:val="3ACF5B21"/>
    <w:rsid w:val="3AF4694A"/>
    <w:rsid w:val="3B1212BA"/>
    <w:rsid w:val="3B216641"/>
    <w:rsid w:val="3B2F65C0"/>
    <w:rsid w:val="3B3B4F65"/>
    <w:rsid w:val="3B497682"/>
    <w:rsid w:val="3B563B4D"/>
    <w:rsid w:val="3B806E1C"/>
    <w:rsid w:val="3B9974F4"/>
    <w:rsid w:val="3B9C3C56"/>
    <w:rsid w:val="3BAF7F7E"/>
    <w:rsid w:val="3BB325C1"/>
    <w:rsid w:val="3BC1546A"/>
    <w:rsid w:val="3BE95021"/>
    <w:rsid w:val="3BF1180D"/>
    <w:rsid w:val="3C005D06"/>
    <w:rsid w:val="3C0B508D"/>
    <w:rsid w:val="3C133447"/>
    <w:rsid w:val="3C1C4D96"/>
    <w:rsid w:val="3C3A521C"/>
    <w:rsid w:val="3C3C23EC"/>
    <w:rsid w:val="3C4A1903"/>
    <w:rsid w:val="3C553E04"/>
    <w:rsid w:val="3C862210"/>
    <w:rsid w:val="3C97441D"/>
    <w:rsid w:val="3CA01523"/>
    <w:rsid w:val="3CD25455"/>
    <w:rsid w:val="3CD76F0F"/>
    <w:rsid w:val="3CF931C7"/>
    <w:rsid w:val="3D0A7413"/>
    <w:rsid w:val="3D1E4B3E"/>
    <w:rsid w:val="3D401BB3"/>
    <w:rsid w:val="3D406863"/>
    <w:rsid w:val="3D460745"/>
    <w:rsid w:val="3D4B47CC"/>
    <w:rsid w:val="3D5777E0"/>
    <w:rsid w:val="3D5D0CBA"/>
    <w:rsid w:val="3D874491"/>
    <w:rsid w:val="3D87623F"/>
    <w:rsid w:val="3D891FB8"/>
    <w:rsid w:val="3D9902ED"/>
    <w:rsid w:val="3D9D5A63"/>
    <w:rsid w:val="3DA037A5"/>
    <w:rsid w:val="3DF85254"/>
    <w:rsid w:val="3DFE0FBD"/>
    <w:rsid w:val="3E043BA6"/>
    <w:rsid w:val="3E076751"/>
    <w:rsid w:val="3E1F0B6E"/>
    <w:rsid w:val="3E2832C6"/>
    <w:rsid w:val="3E5500EC"/>
    <w:rsid w:val="3E5624B3"/>
    <w:rsid w:val="3E8A786A"/>
    <w:rsid w:val="3E8B7FB1"/>
    <w:rsid w:val="3EA13331"/>
    <w:rsid w:val="3EA6303D"/>
    <w:rsid w:val="3EAF3CA0"/>
    <w:rsid w:val="3EBE0387"/>
    <w:rsid w:val="3EC76946"/>
    <w:rsid w:val="3EE24260"/>
    <w:rsid w:val="3F163D1F"/>
    <w:rsid w:val="3F6A5E19"/>
    <w:rsid w:val="3F744EE9"/>
    <w:rsid w:val="3F7E18C4"/>
    <w:rsid w:val="3FB157F6"/>
    <w:rsid w:val="3FCD7AF6"/>
    <w:rsid w:val="3FD61700"/>
    <w:rsid w:val="3FF57DD8"/>
    <w:rsid w:val="40006B46"/>
    <w:rsid w:val="40036E1F"/>
    <w:rsid w:val="40183AC7"/>
    <w:rsid w:val="40224945"/>
    <w:rsid w:val="404B17A6"/>
    <w:rsid w:val="40564282"/>
    <w:rsid w:val="406665E0"/>
    <w:rsid w:val="40736F4F"/>
    <w:rsid w:val="407529FD"/>
    <w:rsid w:val="40773DBB"/>
    <w:rsid w:val="40807950"/>
    <w:rsid w:val="4081341A"/>
    <w:rsid w:val="408D413E"/>
    <w:rsid w:val="408E0B19"/>
    <w:rsid w:val="40905D53"/>
    <w:rsid w:val="409C3516"/>
    <w:rsid w:val="40B47307"/>
    <w:rsid w:val="40BC3FAF"/>
    <w:rsid w:val="40CB231C"/>
    <w:rsid w:val="40D45C40"/>
    <w:rsid w:val="40F40090"/>
    <w:rsid w:val="40FE0F0E"/>
    <w:rsid w:val="41006A35"/>
    <w:rsid w:val="411A73CB"/>
    <w:rsid w:val="41232723"/>
    <w:rsid w:val="412335AB"/>
    <w:rsid w:val="412344D1"/>
    <w:rsid w:val="4125649B"/>
    <w:rsid w:val="41326D3A"/>
    <w:rsid w:val="41412BA9"/>
    <w:rsid w:val="416241F1"/>
    <w:rsid w:val="416528C9"/>
    <w:rsid w:val="417736B8"/>
    <w:rsid w:val="41803B67"/>
    <w:rsid w:val="4190164C"/>
    <w:rsid w:val="41C2018E"/>
    <w:rsid w:val="41C77552"/>
    <w:rsid w:val="41D63C39"/>
    <w:rsid w:val="423D7815"/>
    <w:rsid w:val="42534F52"/>
    <w:rsid w:val="428C42F8"/>
    <w:rsid w:val="42A04F26"/>
    <w:rsid w:val="42A258CA"/>
    <w:rsid w:val="42BA70B7"/>
    <w:rsid w:val="42C0441E"/>
    <w:rsid w:val="42C674C6"/>
    <w:rsid w:val="42FC147E"/>
    <w:rsid w:val="431346A4"/>
    <w:rsid w:val="43252782"/>
    <w:rsid w:val="43825D7B"/>
    <w:rsid w:val="438A4CDB"/>
    <w:rsid w:val="438D0328"/>
    <w:rsid w:val="43B14016"/>
    <w:rsid w:val="43C024AB"/>
    <w:rsid w:val="43C401ED"/>
    <w:rsid w:val="43CC3FD9"/>
    <w:rsid w:val="43E9279C"/>
    <w:rsid w:val="43ED0DC6"/>
    <w:rsid w:val="44006D4C"/>
    <w:rsid w:val="44093E52"/>
    <w:rsid w:val="4426529E"/>
    <w:rsid w:val="443733DD"/>
    <w:rsid w:val="44507CD3"/>
    <w:rsid w:val="445C6678"/>
    <w:rsid w:val="446077EA"/>
    <w:rsid w:val="447B1DEC"/>
    <w:rsid w:val="44972B79"/>
    <w:rsid w:val="44AE3D9B"/>
    <w:rsid w:val="44B71B00"/>
    <w:rsid w:val="44C73A16"/>
    <w:rsid w:val="44D2693A"/>
    <w:rsid w:val="44DE6F40"/>
    <w:rsid w:val="44E41ED5"/>
    <w:rsid w:val="45340C6C"/>
    <w:rsid w:val="45343151"/>
    <w:rsid w:val="454D7D6F"/>
    <w:rsid w:val="454F7F8B"/>
    <w:rsid w:val="45617CBE"/>
    <w:rsid w:val="45AA51C1"/>
    <w:rsid w:val="45DC008D"/>
    <w:rsid w:val="45EE1552"/>
    <w:rsid w:val="45FD1985"/>
    <w:rsid w:val="46055AF2"/>
    <w:rsid w:val="46130FB8"/>
    <w:rsid w:val="462742C6"/>
    <w:rsid w:val="46380A1F"/>
    <w:rsid w:val="463F7FFF"/>
    <w:rsid w:val="46405B25"/>
    <w:rsid w:val="464A1597"/>
    <w:rsid w:val="465F41FD"/>
    <w:rsid w:val="46671304"/>
    <w:rsid w:val="466A4950"/>
    <w:rsid w:val="466E61EE"/>
    <w:rsid w:val="46713F31"/>
    <w:rsid w:val="469D2F78"/>
    <w:rsid w:val="46A3401E"/>
    <w:rsid w:val="46C40504"/>
    <w:rsid w:val="46C4652A"/>
    <w:rsid w:val="46F32B98"/>
    <w:rsid w:val="46FC56CA"/>
    <w:rsid w:val="470543E3"/>
    <w:rsid w:val="47174AD8"/>
    <w:rsid w:val="472114B3"/>
    <w:rsid w:val="473200FB"/>
    <w:rsid w:val="47612160"/>
    <w:rsid w:val="47A85730"/>
    <w:rsid w:val="47DD3B07"/>
    <w:rsid w:val="47DD7AD0"/>
    <w:rsid w:val="47E524E0"/>
    <w:rsid w:val="48117779"/>
    <w:rsid w:val="482C1713"/>
    <w:rsid w:val="4839282C"/>
    <w:rsid w:val="48401E0D"/>
    <w:rsid w:val="48425B85"/>
    <w:rsid w:val="48487FEB"/>
    <w:rsid w:val="484F2050"/>
    <w:rsid w:val="48650C42"/>
    <w:rsid w:val="48763A80"/>
    <w:rsid w:val="48914416"/>
    <w:rsid w:val="4896355E"/>
    <w:rsid w:val="48A57EC2"/>
    <w:rsid w:val="48CE11C6"/>
    <w:rsid w:val="48D32C81"/>
    <w:rsid w:val="48DA78A9"/>
    <w:rsid w:val="48E42C92"/>
    <w:rsid w:val="48F50E49"/>
    <w:rsid w:val="491D214E"/>
    <w:rsid w:val="491F7C74"/>
    <w:rsid w:val="49211C3E"/>
    <w:rsid w:val="49301E81"/>
    <w:rsid w:val="497A30FC"/>
    <w:rsid w:val="49897AB9"/>
    <w:rsid w:val="49957F36"/>
    <w:rsid w:val="49A012D7"/>
    <w:rsid w:val="49BD38E8"/>
    <w:rsid w:val="49C820BA"/>
    <w:rsid w:val="49CB1BAA"/>
    <w:rsid w:val="49E57110"/>
    <w:rsid w:val="49F44C5D"/>
    <w:rsid w:val="4A0964BF"/>
    <w:rsid w:val="4A32277F"/>
    <w:rsid w:val="4A3E05CE"/>
    <w:rsid w:val="4A506CBE"/>
    <w:rsid w:val="4A962857"/>
    <w:rsid w:val="4AA46683"/>
    <w:rsid w:val="4ACB00B3"/>
    <w:rsid w:val="4ACC5BD9"/>
    <w:rsid w:val="4AD827D0"/>
    <w:rsid w:val="4AF018C8"/>
    <w:rsid w:val="4AF97672"/>
    <w:rsid w:val="4B0E6036"/>
    <w:rsid w:val="4B0F597E"/>
    <w:rsid w:val="4B335C59"/>
    <w:rsid w:val="4B3B68BB"/>
    <w:rsid w:val="4B425E94"/>
    <w:rsid w:val="4B4B11F4"/>
    <w:rsid w:val="4B5005B9"/>
    <w:rsid w:val="4B644823"/>
    <w:rsid w:val="4B7324F9"/>
    <w:rsid w:val="4B95421D"/>
    <w:rsid w:val="4BA24A19"/>
    <w:rsid w:val="4BA92BFD"/>
    <w:rsid w:val="4BB91B5C"/>
    <w:rsid w:val="4BBA4D0E"/>
    <w:rsid w:val="4BF70A34"/>
    <w:rsid w:val="4C053323"/>
    <w:rsid w:val="4C1415E6"/>
    <w:rsid w:val="4C1B7DB7"/>
    <w:rsid w:val="4C303F46"/>
    <w:rsid w:val="4C5C2F8D"/>
    <w:rsid w:val="4C63431C"/>
    <w:rsid w:val="4C6C1422"/>
    <w:rsid w:val="4CB24E58"/>
    <w:rsid w:val="4CB701C3"/>
    <w:rsid w:val="4CBD3A2C"/>
    <w:rsid w:val="4CC56D84"/>
    <w:rsid w:val="4CCE5C39"/>
    <w:rsid w:val="4D021D86"/>
    <w:rsid w:val="4D265A75"/>
    <w:rsid w:val="4D33390E"/>
    <w:rsid w:val="4D5B12EB"/>
    <w:rsid w:val="4D6F4211"/>
    <w:rsid w:val="4DB473A2"/>
    <w:rsid w:val="4DE7364A"/>
    <w:rsid w:val="4DEB281B"/>
    <w:rsid w:val="4E0B4C6B"/>
    <w:rsid w:val="4E226FC0"/>
    <w:rsid w:val="4E284029"/>
    <w:rsid w:val="4E2A36A8"/>
    <w:rsid w:val="4E3C2886"/>
    <w:rsid w:val="4E517B5D"/>
    <w:rsid w:val="4E771232"/>
    <w:rsid w:val="4E8A3DE2"/>
    <w:rsid w:val="4E9D1D67"/>
    <w:rsid w:val="4EB40E5E"/>
    <w:rsid w:val="4EC56BC8"/>
    <w:rsid w:val="4ED41501"/>
    <w:rsid w:val="4EE94FAC"/>
    <w:rsid w:val="4EE96D5A"/>
    <w:rsid w:val="4F0040A4"/>
    <w:rsid w:val="4F334479"/>
    <w:rsid w:val="4F337FD5"/>
    <w:rsid w:val="4F6A776F"/>
    <w:rsid w:val="4F6E54B1"/>
    <w:rsid w:val="4FA43A67"/>
    <w:rsid w:val="4FAC52CF"/>
    <w:rsid w:val="4FC155E1"/>
    <w:rsid w:val="4FCC3F86"/>
    <w:rsid w:val="4FD712A8"/>
    <w:rsid w:val="4FF5172F"/>
    <w:rsid w:val="501E6ED7"/>
    <w:rsid w:val="50300697"/>
    <w:rsid w:val="504B75A0"/>
    <w:rsid w:val="504F7091"/>
    <w:rsid w:val="505073DF"/>
    <w:rsid w:val="50593A6B"/>
    <w:rsid w:val="505C355C"/>
    <w:rsid w:val="50632B3C"/>
    <w:rsid w:val="50634E25"/>
    <w:rsid w:val="50707007"/>
    <w:rsid w:val="507C59AC"/>
    <w:rsid w:val="509D3F62"/>
    <w:rsid w:val="50B11AF9"/>
    <w:rsid w:val="50BB4726"/>
    <w:rsid w:val="50BE4216"/>
    <w:rsid w:val="50C874A7"/>
    <w:rsid w:val="50CD206E"/>
    <w:rsid w:val="50F11EF6"/>
    <w:rsid w:val="510065DD"/>
    <w:rsid w:val="510A099B"/>
    <w:rsid w:val="510A120A"/>
    <w:rsid w:val="51121E6C"/>
    <w:rsid w:val="511C5981"/>
    <w:rsid w:val="511D0F3D"/>
    <w:rsid w:val="51201E87"/>
    <w:rsid w:val="512A18AC"/>
    <w:rsid w:val="512C73D2"/>
    <w:rsid w:val="51463280"/>
    <w:rsid w:val="51480139"/>
    <w:rsid w:val="514B6A3D"/>
    <w:rsid w:val="51713037"/>
    <w:rsid w:val="51757592"/>
    <w:rsid w:val="5181771E"/>
    <w:rsid w:val="51856AE2"/>
    <w:rsid w:val="518B5E73"/>
    <w:rsid w:val="519B00B4"/>
    <w:rsid w:val="51B00003"/>
    <w:rsid w:val="51B40BB6"/>
    <w:rsid w:val="51C770FB"/>
    <w:rsid w:val="51E27A91"/>
    <w:rsid w:val="51E657D3"/>
    <w:rsid w:val="51F85506"/>
    <w:rsid w:val="526B4A52"/>
    <w:rsid w:val="52707792"/>
    <w:rsid w:val="52846D9A"/>
    <w:rsid w:val="52952D55"/>
    <w:rsid w:val="52977F3F"/>
    <w:rsid w:val="52CA50F4"/>
    <w:rsid w:val="52CE6810"/>
    <w:rsid w:val="52E33AC0"/>
    <w:rsid w:val="52FB705C"/>
    <w:rsid w:val="5338205E"/>
    <w:rsid w:val="534A7FE3"/>
    <w:rsid w:val="5373753A"/>
    <w:rsid w:val="538040D2"/>
    <w:rsid w:val="53A771E4"/>
    <w:rsid w:val="53D167AB"/>
    <w:rsid w:val="53DB6E8D"/>
    <w:rsid w:val="53E2646E"/>
    <w:rsid w:val="53EB09EE"/>
    <w:rsid w:val="53F14401"/>
    <w:rsid w:val="53F50937"/>
    <w:rsid w:val="53F561A1"/>
    <w:rsid w:val="53FA7313"/>
    <w:rsid w:val="541128AF"/>
    <w:rsid w:val="541B5827"/>
    <w:rsid w:val="54310239"/>
    <w:rsid w:val="543640C4"/>
    <w:rsid w:val="543D36A4"/>
    <w:rsid w:val="543D5452"/>
    <w:rsid w:val="544113E6"/>
    <w:rsid w:val="54424EA8"/>
    <w:rsid w:val="544F5754"/>
    <w:rsid w:val="5460452A"/>
    <w:rsid w:val="54640C31"/>
    <w:rsid w:val="546450D5"/>
    <w:rsid w:val="5479292E"/>
    <w:rsid w:val="548B440F"/>
    <w:rsid w:val="549E2395"/>
    <w:rsid w:val="54A31759"/>
    <w:rsid w:val="54B94D89"/>
    <w:rsid w:val="54C067AF"/>
    <w:rsid w:val="54CF42DF"/>
    <w:rsid w:val="54E12281"/>
    <w:rsid w:val="54FF095A"/>
    <w:rsid w:val="55014E8B"/>
    <w:rsid w:val="551C150B"/>
    <w:rsid w:val="552271FC"/>
    <w:rsid w:val="55254864"/>
    <w:rsid w:val="55384597"/>
    <w:rsid w:val="5543118E"/>
    <w:rsid w:val="55684751"/>
    <w:rsid w:val="556A3CE8"/>
    <w:rsid w:val="556F1F83"/>
    <w:rsid w:val="55766E6E"/>
    <w:rsid w:val="55774759"/>
    <w:rsid w:val="55B33629"/>
    <w:rsid w:val="55C220B3"/>
    <w:rsid w:val="55C93441"/>
    <w:rsid w:val="55E97640"/>
    <w:rsid w:val="56220E5A"/>
    <w:rsid w:val="562E599A"/>
    <w:rsid w:val="566175E4"/>
    <w:rsid w:val="56633896"/>
    <w:rsid w:val="566C4ADB"/>
    <w:rsid w:val="56811F6E"/>
    <w:rsid w:val="568850AA"/>
    <w:rsid w:val="569021B1"/>
    <w:rsid w:val="56CA56C3"/>
    <w:rsid w:val="56DC0F52"/>
    <w:rsid w:val="56E16569"/>
    <w:rsid w:val="56EA51DF"/>
    <w:rsid w:val="57081D47"/>
    <w:rsid w:val="57266671"/>
    <w:rsid w:val="57353838"/>
    <w:rsid w:val="57397068"/>
    <w:rsid w:val="574D00A2"/>
    <w:rsid w:val="575B456D"/>
    <w:rsid w:val="577A2E4B"/>
    <w:rsid w:val="57805D82"/>
    <w:rsid w:val="57862942"/>
    <w:rsid w:val="57917F8F"/>
    <w:rsid w:val="57936CCF"/>
    <w:rsid w:val="57A51C8C"/>
    <w:rsid w:val="57A71560"/>
    <w:rsid w:val="57B1418D"/>
    <w:rsid w:val="57B22185"/>
    <w:rsid w:val="57D22FFD"/>
    <w:rsid w:val="57D81264"/>
    <w:rsid w:val="57D9014C"/>
    <w:rsid w:val="57DD38AF"/>
    <w:rsid w:val="57EA58F1"/>
    <w:rsid w:val="58015413"/>
    <w:rsid w:val="580356EA"/>
    <w:rsid w:val="581035A9"/>
    <w:rsid w:val="58150BC0"/>
    <w:rsid w:val="58256929"/>
    <w:rsid w:val="58675193"/>
    <w:rsid w:val="587D49B7"/>
    <w:rsid w:val="58897FB4"/>
    <w:rsid w:val="58A837E2"/>
    <w:rsid w:val="58C8567B"/>
    <w:rsid w:val="59007BFC"/>
    <w:rsid w:val="590D1897"/>
    <w:rsid w:val="596B365C"/>
    <w:rsid w:val="59943D66"/>
    <w:rsid w:val="59973856"/>
    <w:rsid w:val="59A246D5"/>
    <w:rsid w:val="59A55F73"/>
    <w:rsid w:val="59A71CEC"/>
    <w:rsid w:val="59A8341F"/>
    <w:rsid w:val="59B94F54"/>
    <w:rsid w:val="59F9006D"/>
    <w:rsid w:val="5A1530F9"/>
    <w:rsid w:val="5A3D43FE"/>
    <w:rsid w:val="5A511C57"/>
    <w:rsid w:val="5A551748"/>
    <w:rsid w:val="5A674620"/>
    <w:rsid w:val="5A7122F9"/>
    <w:rsid w:val="5A810B67"/>
    <w:rsid w:val="5A9D30EE"/>
    <w:rsid w:val="5AC9158B"/>
    <w:rsid w:val="5AE140EE"/>
    <w:rsid w:val="5AE14D89"/>
    <w:rsid w:val="5AF01470"/>
    <w:rsid w:val="5B062A42"/>
    <w:rsid w:val="5B0F5D9A"/>
    <w:rsid w:val="5B16590A"/>
    <w:rsid w:val="5B307ABF"/>
    <w:rsid w:val="5B6973BA"/>
    <w:rsid w:val="5B745BFD"/>
    <w:rsid w:val="5B7B3430"/>
    <w:rsid w:val="5B85605C"/>
    <w:rsid w:val="5B995664"/>
    <w:rsid w:val="5BC052E6"/>
    <w:rsid w:val="5BC1681F"/>
    <w:rsid w:val="5BC76675"/>
    <w:rsid w:val="5BCF1086"/>
    <w:rsid w:val="5BD668B8"/>
    <w:rsid w:val="5BF42A03"/>
    <w:rsid w:val="5BF44F90"/>
    <w:rsid w:val="5C076F77"/>
    <w:rsid w:val="5C125416"/>
    <w:rsid w:val="5C320DA4"/>
    <w:rsid w:val="5C37252E"/>
    <w:rsid w:val="5C594DF3"/>
    <w:rsid w:val="5C65786C"/>
    <w:rsid w:val="5C675762"/>
    <w:rsid w:val="5C677510"/>
    <w:rsid w:val="5C763BF7"/>
    <w:rsid w:val="5C9D73D6"/>
    <w:rsid w:val="5CB36BF9"/>
    <w:rsid w:val="5CB87234"/>
    <w:rsid w:val="5CBF6E1C"/>
    <w:rsid w:val="5CC20BEA"/>
    <w:rsid w:val="5CE70651"/>
    <w:rsid w:val="5CF42D8C"/>
    <w:rsid w:val="5D276D56"/>
    <w:rsid w:val="5D2C42B6"/>
    <w:rsid w:val="5D333896"/>
    <w:rsid w:val="5D3F18C8"/>
    <w:rsid w:val="5D504448"/>
    <w:rsid w:val="5D5C4B9B"/>
    <w:rsid w:val="5D6E585A"/>
    <w:rsid w:val="5D72616D"/>
    <w:rsid w:val="5D7A3273"/>
    <w:rsid w:val="5D7E05D6"/>
    <w:rsid w:val="5D8B5480"/>
    <w:rsid w:val="5D9A56C3"/>
    <w:rsid w:val="5D9D1F50"/>
    <w:rsid w:val="5DA675CB"/>
    <w:rsid w:val="5DAD189A"/>
    <w:rsid w:val="5DC32E6C"/>
    <w:rsid w:val="5DCE5130"/>
    <w:rsid w:val="5DD45079"/>
    <w:rsid w:val="5DE74DAC"/>
    <w:rsid w:val="5E4D0988"/>
    <w:rsid w:val="5E56680D"/>
    <w:rsid w:val="5E5D506F"/>
    <w:rsid w:val="5E6E102A"/>
    <w:rsid w:val="5EB55739"/>
    <w:rsid w:val="5EC0484B"/>
    <w:rsid w:val="5ED13367"/>
    <w:rsid w:val="5EF62DCD"/>
    <w:rsid w:val="5F200B07"/>
    <w:rsid w:val="5F20145A"/>
    <w:rsid w:val="5F245B8C"/>
    <w:rsid w:val="5F50072F"/>
    <w:rsid w:val="5F5A1C5D"/>
    <w:rsid w:val="5F661F76"/>
    <w:rsid w:val="5F695C70"/>
    <w:rsid w:val="5F7268F8"/>
    <w:rsid w:val="5F7F7267"/>
    <w:rsid w:val="5F9E593F"/>
    <w:rsid w:val="5FBB029F"/>
    <w:rsid w:val="5FCA04E2"/>
    <w:rsid w:val="600339F4"/>
    <w:rsid w:val="600A0C25"/>
    <w:rsid w:val="60206354"/>
    <w:rsid w:val="60326087"/>
    <w:rsid w:val="604069F6"/>
    <w:rsid w:val="605024FC"/>
    <w:rsid w:val="60716BAF"/>
    <w:rsid w:val="60822B6A"/>
    <w:rsid w:val="609A3A89"/>
    <w:rsid w:val="60C74A21"/>
    <w:rsid w:val="60F5158E"/>
    <w:rsid w:val="611D0AE5"/>
    <w:rsid w:val="61302084"/>
    <w:rsid w:val="618A0B96"/>
    <w:rsid w:val="618E5E31"/>
    <w:rsid w:val="619C5EAE"/>
    <w:rsid w:val="61CD0DFF"/>
    <w:rsid w:val="61D05B58"/>
    <w:rsid w:val="61E6537B"/>
    <w:rsid w:val="62172CA1"/>
    <w:rsid w:val="62255EA3"/>
    <w:rsid w:val="6227651D"/>
    <w:rsid w:val="6256605D"/>
    <w:rsid w:val="62710DB1"/>
    <w:rsid w:val="627110E9"/>
    <w:rsid w:val="627D5CDF"/>
    <w:rsid w:val="628250A4"/>
    <w:rsid w:val="628A21AA"/>
    <w:rsid w:val="62946DCA"/>
    <w:rsid w:val="62A93617"/>
    <w:rsid w:val="62AC2121"/>
    <w:rsid w:val="62C76F5B"/>
    <w:rsid w:val="62D22238"/>
    <w:rsid w:val="62EB24E4"/>
    <w:rsid w:val="62FA7330"/>
    <w:rsid w:val="631B1054"/>
    <w:rsid w:val="632C5010"/>
    <w:rsid w:val="633A597E"/>
    <w:rsid w:val="633B34A5"/>
    <w:rsid w:val="633F11E7"/>
    <w:rsid w:val="634C7460"/>
    <w:rsid w:val="63696264"/>
    <w:rsid w:val="637F3391"/>
    <w:rsid w:val="63892462"/>
    <w:rsid w:val="638C5AAE"/>
    <w:rsid w:val="63AE011A"/>
    <w:rsid w:val="63C3175B"/>
    <w:rsid w:val="63D80CF3"/>
    <w:rsid w:val="63DC15B5"/>
    <w:rsid w:val="63F41FD1"/>
    <w:rsid w:val="640A35A3"/>
    <w:rsid w:val="64147A64"/>
    <w:rsid w:val="64155D14"/>
    <w:rsid w:val="64406FC4"/>
    <w:rsid w:val="644A1BF1"/>
    <w:rsid w:val="644C7B14"/>
    <w:rsid w:val="646A2293"/>
    <w:rsid w:val="64915A72"/>
    <w:rsid w:val="64AC28AC"/>
    <w:rsid w:val="64B82FFF"/>
    <w:rsid w:val="64CF0348"/>
    <w:rsid w:val="64D224C6"/>
    <w:rsid w:val="64D836A1"/>
    <w:rsid w:val="64DA367B"/>
    <w:rsid w:val="64DA55DD"/>
    <w:rsid w:val="64F13D73"/>
    <w:rsid w:val="65046244"/>
    <w:rsid w:val="65181CEF"/>
    <w:rsid w:val="651F307E"/>
    <w:rsid w:val="653F182A"/>
    <w:rsid w:val="65532D27"/>
    <w:rsid w:val="65757142"/>
    <w:rsid w:val="65813D24"/>
    <w:rsid w:val="65D066EC"/>
    <w:rsid w:val="65D75707"/>
    <w:rsid w:val="65EB7404"/>
    <w:rsid w:val="66012783"/>
    <w:rsid w:val="66106E6A"/>
    <w:rsid w:val="661F418D"/>
    <w:rsid w:val="664472F2"/>
    <w:rsid w:val="664B7EA3"/>
    <w:rsid w:val="665F60AC"/>
    <w:rsid w:val="66611474"/>
    <w:rsid w:val="666161EF"/>
    <w:rsid w:val="666B22F3"/>
    <w:rsid w:val="666B5E4F"/>
    <w:rsid w:val="668138C4"/>
    <w:rsid w:val="668533B4"/>
    <w:rsid w:val="668F4233"/>
    <w:rsid w:val="66A66497"/>
    <w:rsid w:val="66A94523"/>
    <w:rsid w:val="66AA6977"/>
    <w:rsid w:val="66C13CC1"/>
    <w:rsid w:val="66C51A03"/>
    <w:rsid w:val="67075FC6"/>
    <w:rsid w:val="670C7632"/>
    <w:rsid w:val="670F7B1B"/>
    <w:rsid w:val="674943E2"/>
    <w:rsid w:val="67674868"/>
    <w:rsid w:val="677D5E3A"/>
    <w:rsid w:val="6780520D"/>
    <w:rsid w:val="6782632B"/>
    <w:rsid w:val="67AE4A8E"/>
    <w:rsid w:val="67B0620F"/>
    <w:rsid w:val="67BF34F0"/>
    <w:rsid w:val="67E73BFB"/>
    <w:rsid w:val="68016A6B"/>
    <w:rsid w:val="683926A8"/>
    <w:rsid w:val="683F7593"/>
    <w:rsid w:val="6874548F"/>
    <w:rsid w:val="687A05CB"/>
    <w:rsid w:val="689668E4"/>
    <w:rsid w:val="689B5D0C"/>
    <w:rsid w:val="68B07F46"/>
    <w:rsid w:val="68BF2482"/>
    <w:rsid w:val="68D43BDC"/>
    <w:rsid w:val="68EF2D67"/>
    <w:rsid w:val="68F04F40"/>
    <w:rsid w:val="68F724DD"/>
    <w:rsid w:val="691555D7"/>
    <w:rsid w:val="6945507D"/>
    <w:rsid w:val="69496146"/>
    <w:rsid w:val="694A37F8"/>
    <w:rsid w:val="6965127B"/>
    <w:rsid w:val="697B27BD"/>
    <w:rsid w:val="69823BDB"/>
    <w:rsid w:val="69877444"/>
    <w:rsid w:val="69D106BF"/>
    <w:rsid w:val="69F01253"/>
    <w:rsid w:val="69F55AF1"/>
    <w:rsid w:val="6A184540"/>
    <w:rsid w:val="6A1D3904"/>
    <w:rsid w:val="6A462BB7"/>
    <w:rsid w:val="6A4B0471"/>
    <w:rsid w:val="6A902328"/>
    <w:rsid w:val="6A9C0CCD"/>
    <w:rsid w:val="6ABA73A5"/>
    <w:rsid w:val="6AC00E5F"/>
    <w:rsid w:val="6B0D17C0"/>
    <w:rsid w:val="6B3709F5"/>
    <w:rsid w:val="6B4C4516"/>
    <w:rsid w:val="6B563571"/>
    <w:rsid w:val="6B7436C6"/>
    <w:rsid w:val="6B785296"/>
    <w:rsid w:val="6B7B2FD8"/>
    <w:rsid w:val="6B87372B"/>
    <w:rsid w:val="6BA75B7B"/>
    <w:rsid w:val="6BB67B6C"/>
    <w:rsid w:val="6BDB5825"/>
    <w:rsid w:val="6BDE631A"/>
    <w:rsid w:val="6BE566A3"/>
    <w:rsid w:val="6C0528A2"/>
    <w:rsid w:val="6C276CBC"/>
    <w:rsid w:val="6C832144"/>
    <w:rsid w:val="6C9854C4"/>
    <w:rsid w:val="6CB00545"/>
    <w:rsid w:val="6CC24BA2"/>
    <w:rsid w:val="6D2E6A17"/>
    <w:rsid w:val="6D34343E"/>
    <w:rsid w:val="6D401DE3"/>
    <w:rsid w:val="6D6655C2"/>
    <w:rsid w:val="6D7E46BA"/>
    <w:rsid w:val="6DA93E2C"/>
    <w:rsid w:val="6DE61B91"/>
    <w:rsid w:val="6DF42BCE"/>
    <w:rsid w:val="6DF85B62"/>
    <w:rsid w:val="6E0F17B6"/>
    <w:rsid w:val="6E296D1B"/>
    <w:rsid w:val="6E536B56"/>
    <w:rsid w:val="6E6C6C08"/>
    <w:rsid w:val="6E7361E8"/>
    <w:rsid w:val="6E811085"/>
    <w:rsid w:val="6E8126B3"/>
    <w:rsid w:val="6EAC7D55"/>
    <w:rsid w:val="6EEC50C0"/>
    <w:rsid w:val="6F0965CD"/>
    <w:rsid w:val="6F206B91"/>
    <w:rsid w:val="6F3040D9"/>
    <w:rsid w:val="6F490EF6"/>
    <w:rsid w:val="6F6128C1"/>
    <w:rsid w:val="6F743FC6"/>
    <w:rsid w:val="6F936CF5"/>
    <w:rsid w:val="6F9C52CB"/>
    <w:rsid w:val="6FAA5649"/>
    <w:rsid w:val="6FD827A7"/>
    <w:rsid w:val="6FE72CBB"/>
    <w:rsid w:val="6FEE1FCA"/>
    <w:rsid w:val="6FF034B5"/>
    <w:rsid w:val="6FF712B4"/>
    <w:rsid w:val="702C0FCC"/>
    <w:rsid w:val="702C30B1"/>
    <w:rsid w:val="703F0766"/>
    <w:rsid w:val="705C33D8"/>
    <w:rsid w:val="706B0E36"/>
    <w:rsid w:val="707B3132"/>
    <w:rsid w:val="70857972"/>
    <w:rsid w:val="70954C14"/>
    <w:rsid w:val="709E411F"/>
    <w:rsid w:val="70A57B13"/>
    <w:rsid w:val="70AE5F6F"/>
    <w:rsid w:val="70CB3294"/>
    <w:rsid w:val="70DF5DB7"/>
    <w:rsid w:val="70F33611"/>
    <w:rsid w:val="70F80C27"/>
    <w:rsid w:val="71015B4C"/>
    <w:rsid w:val="71092E34"/>
    <w:rsid w:val="710E21F8"/>
    <w:rsid w:val="71107D1F"/>
    <w:rsid w:val="71297032"/>
    <w:rsid w:val="713E2ADE"/>
    <w:rsid w:val="71724535"/>
    <w:rsid w:val="717B788E"/>
    <w:rsid w:val="71816E6E"/>
    <w:rsid w:val="719D7401"/>
    <w:rsid w:val="71A16BC9"/>
    <w:rsid w:val="71AF76C3"/>
    <w:rsid w:val="71B0505E"/>
    <w:rsid w:val="71B714C2"/>
    <w:rsid w:val="71BC7284"/>
    <w:rsid w:val="71C22345"/>
    <w:rsid w:val="71CF1988"/>
    <w:rsid w:val="720D425E"/>
    <w:rsid w:val="721D26F3"/>
    <w:rsid w:val="724672D1"/>
    <w:rsid w:val="72572EF3"/>
    <w:rsid w:val="725B146D"/>
    <w:rsid w:val="725C7B67"/>
    <w:rsid w:val="72706ED5"/>
    <w:rsid w:val="72783DCD"/>
    <w:rsid w:val="72785B7B"/>
    <w:rsid w:val="72A41658"/>
    <w:rsid w:val="72CF15E5"/>
    <w:rsid w:val="72FE50B8"/>
    <w:rsid w:val="73040267"/>
    <w:rsid w:val="73090EC9"/>
    <w:rsid w:val="7312139A"/>
    <w:rsid w:val="73261A7B"/>
    <w:rsid w:val="73463ECB"/>
    <w:rsid w:val="73490A80"/>
    <w:rsid w:val="73726A6F"/>
    <w:rsid w:val="73753308"/>
    <w:rsid w:val="73765A25"/>
    <w:rsid w:val="737C5B3F"/>
    <w:rsid w:val="73812244"/>
    <w:rsid w:val="73886292"/>
    <w:rsid w:val="7399224D"/>
    <w:rsid w:val="73AF7CC3"/>
    <w:rsid w:val="73CF450B"/>
    <w:rsid w:val="73DD68D6"/>
    <w:rsid w:val="7400407A"/>
    <w:rsid w:val="7412372B"/>
    <w:rsid w:val="741915E0"/>
    <w:rsid w:val="741B7106"/>
    <w:rsid w:val="7453260B"/>
    <w:rsid w:val="7460720F"/>
    <w:rsid w:val="7476258E"/>
    <w:rsid w:val="748C0004"/>
    <w:rsid w:val="74A569D0"/>
    <w:rsid w:val="74B60BDD"/>
    <w:rsid w:val="74BC0510"/>
    <w:rsid w:val="75051D90"/>
    <w:rsid w:val="75105CC5"/>
    <w:rsid w:val="752A631C"/>
    <w:rsid w:val="75355FA6"/>
    <w:rsid w:val="753F5076"/>
    <w:rsid w:val="75462718"/>
    <w:rsid w:val="754E7067"/>
    <w:rsid w:val="759676DE"/>
    <w:rsid w:val="759929D8"/>
    <w:rsid w:val="75B45DB1"/>
    <w:rsid w:val="75CD2682"/>
    <w:rsid w:val="75CD3BF1"/>
    <w:rsid w:val="75F956C4"/>
    <w:rsid w:val="75FC7E24"/>
    <w:rsid w:val="76203C5A"/>
    <w:rsid w:val="76311FDB"/>
    <w:rsid w:val="763E70DC"/>
    <w:rsid w:val="765E09D2"/>
    <w:rsid w:val="76856AB9"/>
    <w:rsid w:val="768C42EB"/>
    <w:rsid w:val="76936A84"/>
    <w:rsid w:val="76A508B6"/>
    <w:rsid w:val="76A95A38"/>
    <w:rsid w:val="76BD6253"/>
    <w:rsid w:val="76CA1D62"/>
    <w:rsid w:val="76E539FB"/>
    <w:rsid w:val="76F123A0"/>
    <w:rsid w:val="771D3195"/>
    <w:rsid w:val="771E434C"/>
    <w:rsid w:val="775D478B"/>
    <w:rsid w:val="776641EE"/>
    <w:rsid w:val="77A47413"/>
    <w:rsid w:val="77B959A1"/>
    <w:rsid w:val="77CF26E1"/>
    <w:rsid w:val="781C344D"/>
    <w:rsid w:val="78236589"/>
    <w:rsid w:val="78267E28"/>
    <w:rsid w:val="783D11B1"/>
    <w:rsid w:val="787119EB"/>
    <w:rsid w:val="78782D79"/>
    <w:rsid w:val="787E7646"/>
    <w:rsid w:val="788567E4"/>
    <w:rsid w:val="788F3C1F"/>
    <w:rsid w:val="78947487"/>
    <w:rsid w:val="78E35D19"/>
    <w:rsid w:val="78EB5000"/>
    <w:rsid w:val="78EE303B"/>
    <w:rsid w:val="78F85C68"/>
    <w:rsid w:val="78FF0DA4"/>
    <w:rsid w:val="792006FE"/>
    <w:rsid w:val="792600EC"/>
    <w:rsid w:val="793A6280"/>
    <w:rsid w:val="795409C4"/>
    <w:rsid w:val="795F1843"/>
    <w:rsid w:val="796738B7"/>
    <w:rsid w:val="797458E5"/>
    <w:rsid w:val="79786DA9"/>
    <w:rsid w:val="79957FC1"/>
    <w:rsid w:val="79992FD6"/>
    <w:rsid w:val="79A436FA"/>
    <w:rsid w:val="79A96F62"/>
    <w:rsid w:val="79C30024"/>
    <w:rsid w:val="79C36276"/>
    <w:rsid w:val="79D128F6"/>
    <w:rsid w:val="79D479B8"/>
    <w:rsid w:val="79F521A7"/>
    <w:rsid w:val="79FB2014"/>
    <w:rsid w:val="7A0643B5"/>
    <w:rsid w:val="7A096743"/>
    <w:rsid w:val="7A1B6705"/>
    <w:rsid w:val="7A2111EE"/>
    <w:rsid w:val="7A2B3777"/>
    <w:rsid w:val="7A2B5BC9"/>
    <w:rsid w:val="7A560E98"/>
    <w:rsid w:val="7A682979"/>
    <w:rsid w:val="7A8A6409"/>
    <w:rsid w:val="7A923D7A"/>
    <w:rsid w:val="7ABE07EB"/>
    <w:rsid w:val="7AD93877"/>
    <w:rsid w:val="7B000E04"/>
    <w:rsid w:val="7B046B46"/>
    <w:rsid w:val="7B1B5C3E"/>
    <w:rsid w:val="7B2B3ED1"/>
    <w:rsid w:val="7B2F5880"/>
    <w:rsid w:val="7B30782A"/>
    <w:rsid w:val="7B39283E"/>
    <w:rsid w:val="7B4231CA"/>
    <w:rsid w:val="7B5A516D"/>
    <w:rsid w:val="7BCB1249"/>
    <w:rsid w:val="7BCC6877"/>
    <w:rsid w:val="7BDF310F"/>
    <w:rsid w:val="7C0171AF"/>
    <w:rsid w:val="7C042B76"/>
    <w:rsid w:val="7C0B664A"/>
    <w:rsid w:val="7C1C1C6D"/>
    <w:rsid w:val="7C1D1542"/>
    <w:rsid w:val="7C354ADD"/>
    <w:rsid w:val="7C3E1F66"/>
    <w:rsid w:val="7C417926"/>
    <w:rsid w:val="7C460A98"/>
    <w:rsid w:val="7C460FDB"/>
    <w:rsid w:val="7C9712F4"/>
    <w:rsid w:val="7CA37C99"/>
    <w:rsid w:val="7CA66056"/>
    <w:rsid w:val="7CC12815"/>
    <w:rsid w:val="7CE24C65"/>
    <w:rsid w:val="7CEC5AE4"/>
    <w:rsid w:val="7CF60710"/>
    <w:rsid w:val="7CF96DAB"/>
    <w:rsid w:val="7D126BCC"/>
    <w:rsid w:val="7D2D3A06"/>
    <w:rsid w:val="7D8C1BF3"/>
    <w:rsid w:val="7D926ABE"/>
    <w:rsid w:val="7DA97531"/>
    <w:rsid w:val="7DE844FD"/>
    <w:rsid w:val="7E1846B6"/>
    <w:rsid w:val="7E203706"/>
    <w:rsid w:val="7E48490D"/>
    <w:rsid w:val="7E5C7A06"/>
    <w:rsid w:val="7E6A3164"/>
    <w:rsid w:val="7E7318ED"/>
    <w:rsid w:val="7E762BF0"/>
    <w:rsid w:val="7E9B558A"/>
    <w:rsid w:val="7EA30424"/>
    <w:rsid w:val="7EC30AC6"/>
    <w:rsid w:val="7EED78F1"/>
    <w:rsid w:val="7EFB200E"/>
    <w:rsid w:val="7F0D3B7B"/>
    <w:rsid w:val="7F141322"/>
    <w:rsid w:val="7F4D213E"/>
    <w:rsid w:val="7F7271E3"/>
    <w:rsid w:val="7F8D69DE"/>
    <w:rsid w:val="7FAC4C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1"/>
    <w:pPr>
      <w:ind w:left="248"/>
      <w:outlineLvl w:val="0"/>
    </w:pPr>
    <w:rPr>
      <w:rFonts w:ascii="宋体" w:hAnsi="宋体" w:eastAsia="宋体"/>
      <w:sz w:val="42"/>
      <w:szCs w:val="4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style>
  <w:style w:type="paragraph" w:styleId="4">
    <w:name w:val="Balloon Text"/>
    <w:basedOn w:val="1"/>
    <w:link w:val="12"/>
    <w:qFormat/>
    <w:uiPriority w:val="0"/>
    <w:rPr>
      <w:sz w:val="18"/>
      <w:szCs w:val="18"/>
    </w:rPr>
  </w:style>
  <w:style w:type="paragraph" w:styleId="5">
    <w:name w:val="footer"/>
    <w:basedOn w:val="1"/>
    <w:qFormat/>
    <w:uiPriority w:val="0"/>
    <w:pPr>
      <w:tabs>
        <w:tab w:val="center" w:pos="4153"/>
        <w:tab w:val="right" w:pos="8306"/>
      </w:tabs>
    </w:pPr>
    <w:rPr>
      <w:sz w:val="18"/>
    </w:rPr>
  </w:style>
  <w:style w:type="paragraph" w:styleId="6">
    <w:name w:val="header"/>
    <w:basedOn w:val="1"/>
    <w:link w:val="13"/>
    <w:qFormat/>
    <w:uiPriority w:val="0"/>
    <w:pPr>
      <w:pBdr>
        <w:bottom w:val="single" w:color="auto" w:sz="6" w:space="1"/>
      </w:pBdr>
      <w:tabs>
        <w:tab w:val="center" w:pos="4153"/>
        <w:tab w:val="right" w:pos="8306"/>
      </w:tabs>
      <w:jc w:val="center"/>
    </w:pPr>
    <w:rPr>
      <w:sz w:val="18"/>
      <w:szCs w:val="18"/>
    </w:rPr>
  </w:style>
  <w:style w:type="character" w:styleId="9">
    <w:name w:val="annotation reference"/>
    <w:basedOn w:val="8"/>
    <w:qFormat/>
    <w:uiPriority w:val="0"/>
    <w:rPr>
      <w:sz w:val="21"/>
      <w:szCs w:val="21"/>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Paragraph"/>
    <w:basedOn w:val="1"/>
    <w:qFormat/>
    <w:uiPriority w:val="1"/>
  </w:style>
  <w:style w:type="character" w:customStyle="1" w:styleId="12">
    <w:name w:val="批注框文本 Char"/>
    <w:basedOn w:val="8"/>
    <w:link w:val="4"/>
    <w:qFormat/>
    <w:uiPriority w:val="0"/>
    <w:rPr>
      <w:rFonts w:ascii="Arial" w:hAnsi="Arial" w:eastAsia="Arial" w:cs="Arial"/>
      <w:snapToGrid w:val="0"/>
      <w:color w:val="000000"/>
      <w:sz w:val="18"/>
      <w:szCs w:val="18"/>
    </w:rPr>
  </w:style>
  <w:style w:type="character" w:customStyle="1" w:styleId="13">
    <w:name w:val="页眉 Char"/>
    <w:basedOn w:val="8"/>
    <w:link w:val="6"/>
    <w:qFormat/>
    <w:uiPriority w:val="0"/>
    <w:rPr>
      <w:rFonts w:ascii="Arial" w:hAnsi="Arial" w:eastAsia="Arial" w:cs="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101" textRotate="1"/>
    <customShpInfo spid="_x0000_s4098" textRotate="1"/>
    <customShpInfo spid="_x0000_s4099" textRotate="1"/>
    <customShpInfo spid="_x0000_s410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微软用户</Company>
  <Pages>20</Pages>
  <Words>2382</Words>
  <Characters>13578</Characters>
  <Lines>113</Lines>
  <Paragraphs>31</Paragraphs>
  <TotalTime>9</TotalTime>
  <ScaleCrop>false</ScaleCrop>
  <LinksUpToDate>false</LinksUpToDate>
  <CharactersWithSpaces>15929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2022-04-12T21:13:00Z</dcterms:created>
  <dc:creator>Kingsoft-PDF</dc:creator>
  <cp:keywords>62557aed331870001546dc5d</cp:keywords>
  <cp:lastModifiedBy>晓龙</cp:lastModifiedBy>
  <cp:lastPrinted>2022-06-20T06:25:00Z</cp:lastPrinted>
  <dcterms:modified xsi:type="dcterms:W3CDTF">2023-12-13T00:18:32Z</dcterms:modified>
  <dc:subject>pdfbuilder</dc:subject>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wqlLaW5nc29mdCBQREYgdG8gV1BTIDcw</vt:lpwstr>
  </property>
  <property fmtid="{D5CDD505-2E9C-101B-9397-08002B2CF9AE}" pid="3" name="Created">
    <vt:filetime>2022-04-12T21:13:44Z</vt:filetime>
  </property>
  <property fmtid="{D5CDD505-2E9C-101B-9397-08002B2CF9AE}" pid="4" name="KSOProductBuildVer">
    <vt:lpwstr>2052-12.1.0.15990</vt:lpwstr>
  </property>
  <property fmtid="{D5CDD505-2E9C-101B-9397-08002B2CF9AE}" pid="5" name="ICV">
    <vt:lpwstr>11C70ED5811A4543BEA589575916CE2B_13</vt:lpwstr>
  </property>
  <property fmtid="{D5CDD505-2E9C-101B-9397-08002B2CF9AE}" pid="6" name="commondata">
    <vt:lpwstr>eyJoZGlkIjoiODkxZDM5NzIxZjc1ZjU2M2YyMWQ3MDllNzc5MGMxMjQifQ==</vt:lpwstr>
  </property>
</Properties>
</file>